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关于《奉化区“腾笼换鸟”专项经费使用实施办法》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的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起草说明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ind w:left="-10" w:leftChars="0" w:firstLine="64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方案出台背景和依据</w:t>
      </w:r>
    </w:p>
    <w:p>
      <w:pPr>
        <w:numPr>
          <w:ilvl w:val="0"/>
          <w:numId w:val="2"/>
        </w:numPr>
        <w:ind w:firstLine="64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根据浙江省制造业高质量发展领导小组办公室、浙江省经济和信息化厅、浙江省财政厅《关于做好“腾笼换鸟”专项经费提取与管理工作的通知》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（浙制高办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 号）文件精神，</w:t>
      </w:r>
      <w:r>
        <w:rPr>
          <w:rFonts w:hint="eastAsia" w:ascii="仿宋_GB2312" w:eastAsia="仿宋_GB2312"/>
          <w:sz w:val="32"/>
          <w:szCs w:val="32"/>
        </w:rPr>
        <w:t>加强专项资金的使用管理，充分发挥财政资金的作用，提高资金使用绩效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ind w:firstLine="64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贯彻落实《奉化区新一轮制造业“腾笼换鸟、凤凰涅槃”攻坚行动方案（2021-2025年）》（奉政发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14号）精神，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加快产业结构优化和生产方式转变，形成“空间优化、产业集群、要素集聚、功能集成、绿色集约”的制造业高质量发展新格局</w:t>
      </w:r>
      <w:r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left="-10" w:leftChars="0" w:firstLine="64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方案制定过程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2022年6月30日，我局与区财政局、区资规分局联合印发《《奉化区“腾笼换鸟”专项经费提取及管理办法》。为细化办法，便于实施，我局牵头草拟《奉化区“腾笼换鸟”专项经费使用实施办法》，实施办法主要借鉴了宁波市、成都市等相关文件精神拟定，并征求了</w:t>
      </w:r>
      <w:r>
        <w:rPr>
          <w:rFonts w:ascii="仿宋" w:hAnsi="仿宋" w:eastAsia="仿宋" w:cs="仿宋_GB2312"/>
          <w:sz w:val="32"/>
          <w:szCs w:val="32"/>
        </w:rPr>
        <w:t>区</w:t>
      </w:r>
      <w:r>
        <w:rPr>
          <w:rFonts w:hint="eastAsia" w:ascii="仿宋" w:hAnsi="仿宋" w:eastAsia="仿宋"/>
          <w:spacing w:val="-4"/>
          <w:sz w:val="32"/>
          <w:szCs w:val="32"/>
        </w:rPr>
        <w:t>财政局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相关部门意见，对办法进行了相应的修改，细化了申报对象、奖补标准、申报资料、申报流程。</w:t>
      </w:r>
    </w:p>
    <w:p>
      <w:pPr>
        <w:numPr>
          <w:ilvl w:val="0"/>
          <w:numId w:val="1"/>
        </w:numPr>
        <w:ind w:left="-10" w:leftChars="0" w:firstLine="640" w:firstLineChars="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方案主体情况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（一）整体框架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办法分为总则、支持对象和范围、支持条件和标准、申报程序、监督和管理、附则等六部分内容。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一是明确资金来源。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专项资金来源为区级财政预算依据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浙制高办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 号文件要求，按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照区本级土地出让收入的0.5%提取的资金以及上级“腾笼换鸟”一般转移</w:t>
      </w:r>
      <w:r>
        <w:rPr>
          <w:rFonts w:hint="eastAsia" w:ascii="仿宋_GB2312" w:hAnsi="仿宋" w:eastAsia="仿宋_GB2312" w:cs="仿宋"/>
          <w:sz w:val="32"/>
          <w:szCs w:val="32"/>
        </w:rPr>
        <w:t>支付资金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二是明确支持对象和范围。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支持对象为各镇人民政府、各街道办事处、经济开发区管委会、宁南新城管理中心、国有投资（平台）公司及制造业企业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支持范围为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工业园区（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含工业社区，下同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）基础设施建设、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工业园区宿舍型保障性租赁住房建设、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工业园区内企业建设新增建筑面积、低效工业区块改造提升、平台园区建设（老工业园区改造）、落后产能淘汰等项目。</w:t>
      </w:r>
    </w:p>
    <w:p>
      <w:pPr>
        <w:pStyle w:val="2"/>
        <w:ind w:firstLine="640" w:firstLineChars="200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三是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明确支持条件和标准。针对不同项目，确定各自的申报对象、奖补标准、申报资料、申报流程等条款。</w:t>
      </w:r>
    </w:p>
    <w:p>
      <w:pPr>
        <w:pStyle w:val="2"/>
        <w:ind w:firstLine="640" w:firstLineChars="200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四是明确申报程序、资金监督管理和附则等有关内容。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EEAA96"/>
    <w:multiLevelType w:val="singleLevel"/>
    <w:tmpl w:val="94EEAA9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92287CD"/>
    <w:multiLevelType w:val="singleLevel"/>
    <w:tmpl w:val="292287CD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00987"/>
    <w:rsid w:val="528906C2"/>
    <w:rsid w:val="7AA0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2022-11-08T01:52:00Z</dcterms:created>
  <dc:creator>sunny</dc:creator>
  <cp:lastModifiedBy>mashimaro</cp:lastModifiedBy>
  <dcterms:modified xsi:type="dcterms:W3CDTF">2022-11-11T05:43:01Z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