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44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关于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拟</w:t>
      </w:r>
      <w:r>
        <w:rPr>
          <w:rFonts w:hint="eastAsia" w:ascii="方正小标宋简体" w:hAnsi="方正小标宋简体" w:eastAsia="方正小标宋简体"/>
          <w:sz w:val="44"/>
          <w:szCs w:val="36"/>
        </w:rPr>
        <w:t>下拨20</w:t>
      </w:r>
      <w:r>
        <w:rPr>
          <w:rFonts w:hint="eastAsia" w:ascii="方正小标宋简体" w:hAnsi="方正小标宋简体" w:eastAsia="方正小标宋简体"/>
          <w:sz w:val="44"/>
          <w:szCs w:val="36"/>
          <w:lang w:val="en-US" w:eastAsia="zh-CN"/>
        </w:rPr>
        <w:t>21</w:t>
      </w:r>
      <w:r>
        <w:rPr>
          <w:rFonts w:hint="eastAsia" w:ascii="方正小标宋简体" w:hAnsi="方正小标宋简体" w:eastAsia="方正小标宋简体"/>
          <w:sz w:val="44"/>
          <w:szCs w:val="36"/>
        </w:rPr>
        <w:t>年</w:t>
      </w:r>
      <w:r>
        <w:rPr>
          <w:rFonts w:hint="eastAsia" w:ascii="方正小标宋简体" w:hAnsi="方正小标宋简体" w:eastAsia="方正小标宋简体"/>
          <w:sz w:val="44"/>
          <w:szCs w:val="36"/>
          <w:lang w:val="en-US" w:eastAsia="zh-CN"/>
        </w:rPr>
        <w:t>2月至2021年6月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/>
          <w:sz w:val="44"/>
          <w:szCs w:val="36"/>
        </w:rPr>
        <w:t>病死动物集中无害化处理</w:t>
      </w:r>
      <w:r>
        <w:rPr>
          <w:rFonts w:hint="eastAsia" w:ascii="方正小标宋简体" w:hAnsi="方正小标宋简体" w:eastAsia="方正小标宋简体"/>
          <w:sz w:val="44"/>
          <w:szCs w:val="36"/>
          <w:lang w:eastAsia="zh-CN"/>
        </w:rPr>
        <w:t>（无害化处理厂）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/>
          <w:sz w:val="44"/>
          <w:szCs w:val="36"/>
        </w:rPr>
        <w:t>补助资金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的公示</w:t>
      </w:r>
    </w:p>
    <w:p>
      <w:pPr>
        <w:spacing w:line="560" w:lineRule="exact"/>
        <w:ind w:left="0" w:leftChars="0" w:right="0" w:rightChars="0" w:firstLine="0" w:firstLineChars="0"/>
        <w:jc w:val="center"/>
        <w:rPr>
          <w:rFonts w:hint="eastAsia" w:ascii="宋体" w:hAnsi="宋体"/>
          <w:sz w:val="44"/>
          <w:szCs w:val="36"/>
        </w:rPr>
      </w:pP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根据宁波市农业局《关于做好生猪规模化养殖场病死猪无害化处理补助相关工作的通知》（甬农发〔2012〕135号）、奉化市人民政府办公室《关于印发病死动物无害化处理体系建设实施方案的通知》（奉政办发〔2016〕99号）文件精神，经病死动物无害化集中处理收集点</w:t>
      </w:r>
      <w:r>
        <w:rPr>
          <w:rFonts w:hint="eastAsia" w:ascii="仿宋" w:hAnsi="仿宋" w:eastAsia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/>
          <w:sz w:val="32"/>
          <w:szCs w:val="32"/>
        </w:rPr>
        <w:t>宁波奉化森之源动物无害化处理有限公司收集、统计、报送，区</w:t>
      </w:r>
      <w:r>
        <w:rPr>
          <w:rFonts w:hint="eastAsia" w:ascii="仿宋" w:hAnsi="仿宋" w:eastAsia="仿宋"/>
          <w:sz w:val="32"/>
          <w:szCs w:val="32"/>
          <w:lang w:eastAsia="zh-CN"/>
        </w:rPr>
        <w:t>农机畜牧发展中心</w:t>
      </w:r>
      <w:r>
        <w:rPr>
          <w:rFonts w:hint="eastAsia" w:ascii="仿宋" w:hAnsi="仿宋" w:eastAsia="仿宋"/>
          <w:sz w:val="32"/>
          <w:szCs w:val="32"/>
        </w:rPr>
        <w:t>复核</w:t>
      </w:r>
      <w:r>
        <w:rPr>
          <w:rFonts w:hint="eastAsia" w:ascii="仿宋" w:hAnsi="仿宋" w:eastAsia="仿宋"/>
          <w:sz w:val="32"/>
          <w:szCs w:val="32"/>
          <w:lang w:eastAsia="zh-CN"/>
        </w:rPr>
        <w:t>无误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2月至2021年6月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，我区病死动物收集点、储存点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宁波奉化森之源动物无害化处理有限公司共计收集病死猪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10317</w:t>
      </w:r>
      <w:r>
        <w:rPr>
          <w:rFonts w:hint="eastAsia" w:ascii="仿宋_GB2312" w:hAnsi="仿宋_GB2312" w:eastAsia="仿宋_GB2312" w:cs="仿宋_GB2312"/>
          <w:sz w:val="32"/>
          <w:szCs w:val="32"/>
        </w:rPr>
        <w:t>头，宁波市级以上补助标准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48元/头，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其中镇（街道）收集点补助标准为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15元/头，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养殖场储存点补助标准为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10元/头。扣除拨付给收集点和储存点的补助资金后，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本次拟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</w:rPr>
        <w:t>下拨至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宁波市奉化清源动物无害化处理有限公司的市级以上补助资金共计373026元（详见附件1）</w:t>
      </w:r>
      <w:r>
        <w:rPr>
          <w:rFonts w:hint="eastAsia" w:ascii="仿宋" w:hAnsi="仿宋" w:eastAsia="仿宋"/>
          <w:bCs/>
          <w:color w:val="000000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2月至2021年6月</w:t>
      </w:r>
      <w:r>
        <w:rPr>
          <w:rFonts w:hint="eastAsia" w:ascii="仿宋_GB2312" w:hAnsi="仿宋_GB2312" w:eastAsia="仿宋_GB2312" w:cs="仿宋_GB2312"/>
          <w:sz w:val="32"/>
          <w:szCs w:val="32"/>
        </w:rPr>
        <w:t>，宁波奉化森之源动物无害化处理有限公司无害化处理病死猪共计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10247</w:t>
      </w:r>
      <w:r>
        <w:rPr>
          <w:rFonts w:hint="eastAsia" w:ascii="仿宋_GB2312" w:hAnsi="仿宋_GB2312" w:eastAsia="仿宋_GB2312" w:cs="仿宋_GB2312"/>
          <w:sz w:val="32"/>
          <w:szCs w:val="32"/>
        </w:rPr>
        <w:t>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sz w:val="32"/>
          <w:szCs w:val="32"/>
        </w:rPr>
        <w:t>补助标准为32元/头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327904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详见附件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  <w:r>
        <w:rPr>
          <w:rFonts w:hint="eastAsia" w:ascii="仿宋_GB2312" w:hAnsi="仿宋_GB2312" w:eastAsia="仿宋_GB2312" w:cs="仿宋_GB2312"/>
          <w:sz w:val="32"/>
          <w:szCs w:val="32"/>
        </w:rPr>
        <w:t>收集并无害化处理其他动物及动物产品4.9022吨，区级补助标准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</w:rPr>
        <w:t>2600元/吨，计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12745.72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详见附件3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。本次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拟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下拨区级补助资金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合计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340649.72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元</w:t>
      </w:r>
      <w:r>
        <w:rPr>
          <w:rFonts w:hint="eastAsia" w:ascii="仿宋" w:hAnsi="仿宋" w:eastAsia="仿宋"/>
          <w:bCs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sz w:val="32"/>
          <w:szCs w:val="32"/>
          <w:lang w:eastAsia="zh-CN"/>
        </w:rPr>
        <w:t>现予以公示。</w:t>
      </w:r>
    </w:p>
    <w:p>
      <w:pPr>
        <w:spacing w:line="360" w:lineRule="auto"/>
        <w:ind w:firstLine="640" w:firstLineChars="200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shd w:val="clear" w:color="auto" w:fill="FFFFFF"/>
        </w:rPr>
        <w:t>如对本公示内容有异议，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请于公示期内（2021年7月12日至2021年7月18日）向宁波市奉化区农机畜牧发展中心反映或举报。电话：0574-88922805；地址：奉化区岳林街道龙潭路51号。</w:t>
      </w:r>
    </w:p>
    <w:p>
      <w:pPr>
        <w:spacing w:line="360" w:lineRule="auto"/>
        <w:jc w:val="lef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</w:p>
    <w:p>
      <w:pPr>
        <w:spacing w:line="560" w:lineRule="exact"/>
        <w:ind w:left="707" w:leftChars="337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病死猪</w:t>
      </w:r>
    </w:p>
    <w:p>
      <w:pPr>
        <w:spacing w:line="560" w:lineRule="exact"/>
        <w:ind w:left="1987" w:leftChars="337" w:hanging="1280" w:hangingChars="40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集中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无害化处理市级以上补助资金明细表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2月至2021年6月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tabs>
          <w:tab w:val="left" w:pos="709"/>
        </w:tabs>
        <w:spacing w:line="560" w:lineRule="exact"/>
        <w:ind w:left="707" w:leftChars="337" w:right="55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病死猪</w:t>
      </w:r>
    </w:p>
    <w:p>
      <w:pPr>
        <w:tabs>
          <w:tab w:val="left" w:pos="8306"/>
        </w:tabs>
        <w:spacing w:line="560" w:lineRule="exact"/>
        <w:ind w:left="1987" w:leftChars="337" w:right="-58" w:hanging="1280" w:hangingChars="4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集中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无害化处理区级补助资金明细表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2月至2021年6月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tabs>
          <w:tab w:val="left" w:pos="709"/>
        </w:tabs>
        <w:spacing w:line="560" w:lineRule="exact"/>
        <w:ind w:left="707" w:leftChars="337" w:firstLine="1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其他</w:t>
      </w:r>
    </w:p>
    <w:p>
      <w:pPr>
        <w:tabs>
          <w:tab w:val="left" w:pos="709"/>
        </w:tabs>
        <w:spacing w:line="560" w:lineRule="exact"/>
        <w:ind w:left="707" w:leftChars="337" w:firstLine="1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 xml:space="preserve">        动物及产品集中无害化处理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区级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补助资金</w:t>
      </w:r>
      <w:r>
        <w:rPr>
          <w:rFonts w:hint="eastAsia" w:ascii="仿宋_GB2312" w:hAnsi="仿宋_GB2312" w:eastAsia="仿宋_GB2312" w:cs="仿宋_GB2312"/>
          <w:sz w:val="32"/>
          <w:szCs w:val="32"/>
        </w:rPr>
        <w:t>明细</w:t>
      </w:r>
    </w:p>
    <w:p>
      <w:pPr>
        <w:tabs>
          <w:tab w:val="left" w:pos="709"/>
        </w:tabs>
        <w:spacing w:line="560" w:lineRule="exact"/>
        <w:ind w:left="707" w:leftChars="337" w:firstLine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2月至2021年6月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</w:t>
      </w:r>
    </w:p>
    <w:p>
      <w:pPr>
        <w:tabs>
          <w:tab w:val="left" w:pos="709"/>
        </w:tabs>
        <w:spacing w:line="560" w:lineRule="exact"/>
        <w:ind w:left="707" w:leftChars="337" w:firstLine="1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tabs>
          <w:tab w:val="left" w:pos="709"/>
        </w:tabs>
        <w:spacing w:line="560" w:lineRule="exact"/>
        <w:ind w:left="707" w:leftChars="337" w:firstLine="1"/>
        <w:jc w:val="left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宁波市奉化区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农机畜牧发展中心</w:t>
      </w:r>
    </w:p>
    <w:p>
      <w:pPr>
        <w:tabs>
          <w:tab w:val="left" w:pos="709"/>
        </w:tabs>
        <w:spacing w:line="560" w:lineRule="exact"/>
        <w:ind w:left="707" w:leftChars="337" w:firstLine="1"/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20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日</w:t>
      </w:r>
    </w:p>
    <w:p>
      <w:pPr>
        <w:tabs>
          <w:tab w:val="left" w:pos="709"/>
        </w:tabs>
        <w:spacing w:line="560" w:lineRule="exact"/>
        <w:ind w:left="707" w:leftChars="337" w:firstLine="1"/>
        <w:jc w:val="right"/>
        <w:rPr>
          <w:rFonts w:hint="eastAsia" w:ascii="仿宋_GB2312" w:hAnsi="仿宋_GB2312" w:eastAsia="仿宋_GB2312" w:cs="仿宋_GB2312"/>
          <w:bCs/>
          <w:sz w:val="32"/>
          <w:szCs w:val="32"/>
        </w:rPr>
        <w:sectPr>
          <w:footerReference r:id="rId5" w:type="default"/>
          <w:pgSz w:w="11906" w:h="16838"/>
          <w:pgMar w:top="2098" w:right="1474" w:bottom="1985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ind w:right="112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病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死猪集中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无害化处理市级以上补助资金明细表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（20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val="en-US" w:eastAsia="zh-CN"/>
        </w:rPr>
        <w:t>2月至2021年6月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）</w:t>
      </w:r>
    </w:p>
    <w:tbl>
      <w:tblPr>
        <w:tblStyle w:val="4"/>
        <w:tblW w:w="894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1395"/>
        <w:gridCol w:w="1860"/>
        <w:gridCol w:w="1350"/>
        <w:gridCol w:w="1380"/>
        <w:gridCol w:w="18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年月份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病死猪来源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病死猪数量（头）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补助标准（元/头）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补助资金（元）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宁波奉化森之源动物无害化处理有限公司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16203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39064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1170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38610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2464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44847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从镇（街道）收集点收集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3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从养殖场储存点收集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43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/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373026</w:t>
            </w:r>
          </w:p>
        </w:tc>
      </w:tr>
    </w:tbl>
    <w:p>
      <w:pPr>
        <w:ind w:right="-30"/>
        <w:jc w:val="left"/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6" w:type="default"/>
          <w:pgSz w:w="11906" w:h="16838"/>
          <w:pgMar w:top="2098" w:right="1417" w:bottom="1985" w:left="1588" w:header="851" w:footer="992" w:gutter="0"/>
          <w:pgNumType w:fmt="numberInDash"/>
          <w:cols w:space="720" w:num="1"/>
          <w:docGrid w:type="linesAndChars" w:linePitch="312" w:charSpace="0"/>
        </w:sectPr>
      </w:pPr>
    </w:p>
    <w:p>
      <w:pPr>
        <w:ind w:right="-3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tabs>
          <w:tab w:val="left" w:pos="8617"/>
        </w:tabs>
        <w:ind w:right="-30"/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病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死猪</w:t>
      </w:r>
    </w:p>
    <w:p>
      <w:pPr>
        <w:tabs>
          <w:tab w:val="left" w:pos="8617"/>
        </w:tabs>
        <w:ind w:right="-30"/>
        <w:jc w:val="center"/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集中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无害化处理区级补助资金明细表</w:t>
      </w:r>
    </w:p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（20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  <w:lang w:val="en-US" w:eastAsia="zh-CN"/>
        </w:rPr>
        <w:t>2月至2021年6月</w:t>
      </w:r>
      <w:r>
        <w:rPr>
          <w:rFonts w:hint="eastAsia" w:ascii="方正小标宋简体" w:hAnsi="方正小标宋简体" w:eastAsia="方正小标宋简体" w:cs="宋体"/>
          <w:bCs/>
          <w:kern w:val="0"/>
          <w:sz w:val="32"/>
          <w:szCs w:val="32"/>
        </w:rPr>
        <w:t>）</w:t>
      </w:r>
    </w:p>
    <w:tbl>
      <w:tblPr>
        <w:tblStyle w:val="4"/>
        <w:tblW w:w="92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1467"/>
        <w:gridCol w:w="1185"/>
        <w:gridCol w:w="867"/>
        <w:gridCol w:w="1609"/>
        <w:gridCol w:w="1032"/>
        <w:gridCol w:w="11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年月份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无害化处理病死猪数量(头)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补助标准（元/头）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宁波奉化森之源动物无害化处理有限公司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1037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33184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35648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3234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103488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1433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45856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164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3429</w:t>
            </w: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109728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7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10247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327904</w:t>
            </w:r>
          </w:p>
        </w:tc>
      </w:tr>
    </w:tbl>
    <w:p>
      <w:pPr>
        <w:tabs>
          <w:tab w:val="left" w:pos="8617"/>
        </w:tabs>
        <w:ind w:left="0" w:leftChars="0" w:right="0" w:rightChars="0" w:firstLine="0" w:firstLineChars="0"/>
        <w:jc w:val="center"/>
        <w:rPr>
          <w:rFonts w:hint="eastAsia" w:ascii="方正小标宋简体" w:hAnsi="方正小标宋简体" w:eastAsia="方正小标宋简体" w:cs="宋体"/>
          <w:bCs/>
          <w:kern w:val="0"/>
          <w:sz w:val="36"/>
          <w:szCs w:val="36"/>
        </w:rPr>
      </w:pPr>
    </w:p>
    <w:p>
      <w:pPr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  <w:lang w:eastAsia="zh-CN"/>
        </w:rPr>
        <w:t>宁波市奉化清源动物无害化处理有限公司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其他动物</w:t>
      </w:r>
    </w:p>
    <w:p>
      <w:pPr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及产品集中无害化处理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  <w:lang w:eastAsia="zh-CN"/>
        </w:rPr>
        <w:t>区级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补助资金明细表</w:t>
      </w:r>
    </w:p>
    <w:p>
      <w:pPr>
        <w:jc w:val="center"/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（20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21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年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  <w:lang w:val="en-US" w:eastAsia="zh-CN"/>
        </w:rPr>
        <w:t>2月至2021年6月</w:t>
      </w:r>
      <w:r>
        <w:rPr>
          <w:rFonts w:hint="eastAsia" w:ascii="方正小标宋简体" w:hAnsi="方正小标宋简体" w:eastAsia="方正小标宋简体" w:cs="宋体"/>
          <w:bCs/>
          <w:color w:val="000000"/>
          <w:kern w:val="0"/>
          <w:sz w:val="32"/>
          <w:szCs w:val="32"/>
        </w:rPr>
        <w:t>）</w:t>
      </w:r>
    </w:p>
    <w:tbl>
      <w:tblPr>
        <w:tblStyle w:val="4"/>
        <w:tblW w:w="9023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350"/>
        <w:gridCol w:w="1323"/>
        <w:gridCol w:w="1041"/>
        <w:gridCol w:w="1257"/>
        <w:gridCol w:w="1278"/>
        <w:gridCol w:w="15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年月份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地址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负责人姓名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无害化处理数量(吨)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补助标准（元/吨）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补助资金（元）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2021年2月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宁波奉化森之源动物无害化处理有限公司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0.505</w:t>
            </w:r>
          </w:p>
        </w:tc>
        <w:tc>
          <w:tcPr>
            <w:tcW w:w="127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2600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2021年3月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2021年4月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0.9822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2553.72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2021年5月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0.941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2446.6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2021年6月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西坞街道南岙村</w:t>
            </w:r>
          </w:p>
        </w:tc>
        <w:tc>
          <w:tcPr>
            <w:tcW w:w="10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徐炳君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2.474</w:t>
            </w:r>
          </w:p>
        </w:tc>
        <w:tc>
          <w:tcPr>
            <w:tcW w:w="127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6432.4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9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2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4.9022</w:t>
            </w:r>
          </w:p>
        </w:tc>
        <w:tc>
          <w:tcPr>
            <w:tcW w:w="1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/</w:t>
            </w:r>
          </w:p>
        </w:tc>
        <w:tc>
          <w:tcPr>
            <w:tcW w:w="15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12745.72</w:t>
            </w:r>
          </w:p>
        </w:tc>
      </w:tr>
    </w:tbl>
    <w:p>
      <w:pPr>
        <w:ind w:right="1120"/>
        <w:jc w:val="left"/>
        <w:rPr>
          <w:rFonts w:hint="eastAsia" w:ascii="宋体" w:hAnsi="宋体"/>
          <w:vanish/>
          <w:sz w:val="32"/>
          <w:szCs w:val="32"/>
        </w:rPr>
      </w:pPr>
    </w:p>
    <w:p/>
    <w:p/>
    <w:sectPr>
      <w:footerReference r:id="rId7" w:type="default"/>
      <w:pgSz w:w="11906" w:h="16838"/>
      <w:pgMar w:top="2098" w:right="1417" w:bottom="1985" w:left="1588" w:header="851" w:footer="992" w:gutter="0"/>
      <w:pgNumType w:fmt="numberInDash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7D018C"/>
    <w:rsid w:val="045315AE"/>
    <w:rsid w:val="0DEB15C5"/>
    <w:rsid w:val="16727C0C"/>
    <w:rsid w:val="355D593F"/>
    <w:rsid w:val="375C72AA"/>
    <w:rsid w:val="5F7D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2021-07-05T00:44:00Z</dcterms:created>
  <dc:creator>user</dc:creator>
  <cp:lastModifiedBy>user</cp:lastModifiedBy>
  <dcterms:modified xsi:type="dcterms:W3CDTF">2021-07-12T02:03:20Z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8CC8876178EB4CF19FC80225EFB8105A</vt:lpwstr>
  </property>
</Properties>
</file>