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eastAsia="zh-CN"/>
        </w:rPr>
        <w:t>宁波市奉化区发展和改革局</w:t>
      </w:r>
      <w:r>
        <w:rPr>
          <w:rFonts w:hint="eastAsia" w:ascii="方正小标宋简体" w:hAnsi="方正小标宋简体" w:eastAsia="方正小标宋简体" w:cs="方正小标宋简体"/>
          <w:sz w:val="44"/>
          <w:szCs w:val="32"/>
          <w:lang w:val="en-US" w:eastAsia="zh-CN"/>
        </w:rPr>
        <w:t>2022年度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政府信息公开工作年度报告</w:t>
      </w:r>
    </w:p>
    <w:p>
      <w:pPr>
        <w:pStyle w:val="2"/>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黑体" w:hAnsi="黑体" w:eastAsia="黑体" w:cs="黑体"/>
          <w:sz w:val="32"/>
          <w:szCs w:val="32"/>
          <w:lang w:eastAsia="zh-CN" w:bidi="ar-SA"/>
        </w:rPr>
      </w:pPr>
      <w:r>
        <w:rPr>
          <w:rFonts w:hint="eastAsia" w:ascii="黑体" w:hAnsi="黑体" w:eastAsia="黑体" w:cs="黑体"/>
          <w:sz w:val="32"/>
          <w:szCs w:val="32"/>
          <w:lang w:eastAsia="zh-CN" w:bidi="ar-SA"/>
        </w:rPr>
        <w:t>总体情况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bidi="ar-SA"/>
        </w:rPr>
      </w:pPr>
      <w:r>
        <w:rPr>
          <w:rFonts w:hint="eastAsia" w:ascii="仿宋_GB2312" w:hAnsi="仿宋_GB2312" w:eastAsia="仿宋_GB2312" w:cs="仿宋_GB2312"/>
          <w:sz w:val="32"/>
          <w:szCs w:val="32"/>
          <w:highlight w:val="none"/>
          <w:lang w:eastAsia="zh-CN" w:bidi="ar-SA"/>
        </w:rPr>
        <w:t>区发改局始终坚持“公开为常态、不公开为例外”的原则，重点围绕重大项目批准和实施、商品价格监测分析、公共资源配置等领域，拓展公开信息广度与深度，加强政策解读，切实保障群众知情权、参与权、表达权和监督权，进一步提高政府治理和政务服务水平，进一步增强人民群众获得感和满意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（一）主动公开政府信息情况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bidi="ar-SA"/>
        </w:rPr>
      </w:pPr>
      <w:r>
        <w:rPr>
          <w:rFonts w:hint="eastAsia" w:ascii="仿宋_GB2312" w:hAnsi="仿宋_GB2312" w:eastAsia="仿宋_GB2312" w:cs="仿宋_GB2312"/>
          <w:sz w:val="32"/>
          <w:szCs w:val="32"/>
          <w:highlight w:val="none"/>
          <w:lang w:val="en-US" w:eastAsia="zh-CN" w:bidi="ar-SA"/>
        </w:rPr>
        <w:t>2022</w:t>
      </w:r>
      <w:r>
        <w:rPr>
          <w:rFonts w:hint="eastAsia" w:ascii="仿宋_GB2312" w:hAnsi="仿宋_GB2312" w:eastAsia="仿宋_GB2312" w:cs="仿宋_GB2312"/>
          <w:sz w:val="32"/>
          <w:szCs w:val="32"/>
          <w:highlight w:val="none"/>
          <w:lang w:eastAsia="zh-CN" w:bidi="ar-SA"/>
        </w:rPr>
        <w:t>年度我局通过奉化区政府网站共主动公开政府信息</w:t>
      </w:r>
      <w:r>
        <w:rPr>
          <w:rFonts w:hint="eastAsia" w:ascii="仿宋_GB2312" w:hAnsi="仿宋_GB2312" w:eastAsia="仿宋_GB2312" w:cs="仿宋_GB2312"/>
          <w:sz w:val="32"/>
          <w:szCs w:val="32"/>
          <w:highlight w:val="none"/>
          <w:lang w:val="en-US" w:eastAsia="zh-CN" w:bidi="ar-SA"/>
        </w:rPr>
        <w:t>434</w:t>
      </w:r>
      <w:r>
        <w:rPr>
          <w:rFonts w:hint="eastAsia" w:ascii="仿宋_GB2312" w:hAnsi="仿宋_GB2312" w:eastAsia="仿宋_GB2312" w:cs="仿宋_GB2312"/>
          <w:sz w:val="32"/>
          <w:szCs w:val="32"/>
          <w:highlight w:val="none"/>
          <w:lang w:eastAsia="zh-CN" w:bidi="ar-SA"/>
        </w:rPr>
        <w:t>条，其中法规公文类信息</w:t>
      </w:r>
      <w:r>
        <w:rPr>
          <w:rFonts w:hint="eastAsia" w:ascii="仿宋_GB2312" w:hAnsi="仿宋_GB2312" w:eastAsia="仿宋_GB2312" w:cs="仿宋_GB2312"/>
          <w:sz w:val="32"/>
          <w:szCs w:val="32"/>
          <w:highlight w:val="none"/>
          <w:lang w:val="en-US" w:eastAsia="zh-CN" w:bidi="ar-SA"/>
        </w:rPr>
        <w:t>266</w:t>
      </w:r>
      <w:r>
        <w:rPr>
          <w:rFonts w:hint="eastAsia" w:ascii="仿宋_GB2312" w:hAnsi="仿宋_GB2312" w:eastAsia="仿宋_GB2312" w:cs="仿宋_GB2312"/>
          <w:sz w:val="32"/>
          <w:szCs w:val="32"/>
          <w:highlight w:val="none"/>
          <w:lang w:eastAsia="zh-CN" w:bidi="ar-SA"/>
        </w:rPr>
        <w:t>条，工作信息</w:t>
      </w:r>
      <w:r>
        <w:rPr>
          <w:rFonts w:hint="eastAsia" w:ascii="仿宋_GB2312" w:hAnsi="仿宋_GB2312" w:eastAsia="仿宋_GB2312" w:cs="仿宋_GB2312"/>
          <w:sz w:val="32"/>
          <w:szCs w:val="32"/>
          <w:highlight w:val="none"/>
          <w:lang w:val="en-US" w:eastAsia="zh-CN" w:bidi="ar-SA"/>
        </w:rPr>
        <w:t>52条，财政</w:t>
      </w:r>
      <w:r>
        <w:rPr>
          <w:rFonts w:hint="eastAsia" w:ascii="仿宋_GB2312" w:hAnsi="仿宋_GB2312" w:eastAsia="仿宋_GB2312" w:cs="仿宋_GB2312"/>
          <w:sz w:val="32"/>
          <w:szCs w:val="32"/>
          <w:highlight w:val="none"/>
          <w:lang w:eastAsia="zh-CN" w:bidi="ar-SA"/>
        </w:rPr>
        <w:t>类信息</w:t>
      </w:r>
      <w:r>
        <w:rPr>
          <w:rFonts w:hint="eastAsia" w:ascii="仿宋_GB2312" w:hAnsi="仿宋_GB2312" w:eastAsia="仿宋_GB2312" w:cs="仿宋_GB2312"/>
          <w:sz w:val="32"/>
          <w:szCs w:val="32"/>
          <w:highlight w:val="none"/>
          <w:lang w:val="en-US" w:eastAsia="zh-CN" w:bidi="ar-SA"/>
        </w:rPr>
        <w:t>78</w:t>
      </w:r>
      <w:r>
        <w:rPr>
          <w:rFonts w:hint="eastAsia" w:ascii="仿宋_GB2312" w:hAnsi="仿宋_GB2312" w:eastAsia="仿宋_GB2312" w:cs="仿宋_GB2312"/>
          <w:sz w:val="32"/>
          <w:szCs w:val="32"/>
          <w:highlight w:val="none"/>
          <w:lang w:eastAsia="zh-CN" w:bidi="ar-SA"/>
        </w:rPr>
        <w:t>条，其他类信息</w:t>
      </w:r>
      <w:r>
        <w:rPr>
          <w:rFonts w:hint="eastAsia" w:ascii="仿宋_GB2312" w:hAnsi="仿宋_GB2312" w:eastAsia="仿宋_GB2312" w:cs="仿宋_GB2312"/>
          <w:sz w:val="32"/>
          <w:szCs w:val="32"/>
          <w:highlight w:val="none"/>
          <w:lang w:val="en-US" w:eastAsia="zh-CN" w:bidi="ar-SA"/>
        </w:rPr>
        <w:t>38条</w:t>
      </w:r>
      <w:r>
        <w:rPr>
          <w:rFonts w:hint="eastAsia" w:ascii="仿宋_GB2312" w:hAnsi="仿宋_GB2312" w:eastAsia="仿宋_GB2312" w:cs="仿宋_GB2312"/>
          <w:sz w:val="32"/>
          <w:szCs w:val="32"/>
          <w:highlight w:val="none"/>
          <w:lang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360" w:lineRule="auto"/>
        <w:ind w:left="640" w:leftChars="0" w:right="0" w:rightChars="0" w:firstLine="0" w:firstLineChars="0"/>
        <w:jc w:val="both"/>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政府信息依申请公开办理情况</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6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2022年</w:t>
      </w:r>
      <w:r>
        <w:rPr>
          <w:rFonts w:hint="eastAsia" w:ascii="仿宋_GB2312" w:eastAsia="仿宋_GB2312"/>
          <w:sz w:val="32"/>
          <w:szCs w:val="32"/>
        </w:rPr>
        <w:t>共</w:t>
      </w:r>
      <w:r>
        <w:rPr>
          <w:rFonts w:hint="eastAsia" w:ascii="仿宋_GB2312" w:eastAsia="仿宋_GB2312"/>
          <w:sz w:val="32"/>
          <w:szCs w:val="32"/>
          <w:lang w:eastAsia="zh-CN"/>
        </w:rPr>
        <w:t>收</w:t>
      </w:r>
      <w:r>
        <w:rPr>
          <w:rFonts w:hint="eastAsia" w:ascii="仿宋_GB2312" w:eastAsia="仿宋_GB2312"/>
          <w:sz w:val="32"/>
          <w:szCs w:val="32"/>
        </w:rPr>
        <w:t>到依申请公开事项</w:t>
      </w:r>
      <w:r>
        <w:rPr>
          <w:rFonts w:hint="eastAsia" w:ascii="仿宋_GB2312" w:eastAsia="仿宋_GB2312"/>
          <w:sz w:val="32"/>
          <w:szCs w:val="32"/>
          <w:lang w:val="en-US" w:eastAsia="zh-CN"/>
        </w:rPr>
        <w:t>22</w:t>
      </w:r>
      <w:r>
        <w:rPr>
          <w:rFonts w:hint="eastAsia" w:ascii="仿宋_GB2312" w:eastAsia="仿宋_GB2312"/>
          <w:sz w:val="32"/>
          <w:szCs w:val="32"/>
          <w:lang w:eastAsia="zh-CN"/>
        </w:rPr>
        <w:t>件</w:t>
      </w:r>
      <w:r>
        <w:rPr>
          <w:rFonts w:hint="eastAsia" w:ascii="仿宋_GB2312" w:eastAsia="仿宋_GB2312"/>
          <w:sz w:val="32"/>
          <w:szCs w:val="32"/>
        </w:rPr>
        <w:t>，其中书面信函申请</w:t>
      </w:r>
      <w:r>
        <w:rPr>
          <w:rFonts w:hint="eastAsia" w:ascii="仿宋_GB2312" w:eastAsia="仿宋_GB2312"/>
          <w:sz w:val="32"/>
          <w:szCs w:val="32"/>
          <w:lang w:val="en-US" w:eastAsia="zh-CN"/>
        </w:rPr>
        <w:t>18</w:t>
      </w:r>
      <w:r>
        <w:rPr>
          <w:rFonts w:hint="eastAsia" w:ascii="仿宋_GB2312" w:eastAsia="仿宋_GB2312"/>
          <w:sz w:val="32"/>
          <w:szCs w:val="32"/>
        </w:rPr>
        <w:t>件，内容主要涉及项目立项批复</w:t>
      </w:r>
      <w:r>
        <w:rPr>
          <w:rFonts w:hint="eastAsia" w:ascii="仿宋_GB2312" w:eastAsia="仿宋_GB2312"/>
          <w:sz w:val="32"/>
          <w:szCs w:val="32"/>
          <w:lang w:eastAsia="zh-CN"/>
        </w:rPr>
        <w:t>、价格制定标准</w:t>
      </w:r>
      <w:r>
        <w:rPr>
          <w:rFonts w:hint="eastAsia" w:ascii="仿宋_GB2312" w:eastAsia="仿宋_GB2312"/>
          <w:sz w:val="32"/>
          <w:szCs w:val="32"/>
        </w:rPr>
        <w:t>等信息，收到申请信息后，由专人进行登记，</w:t>
      </w:r>
      <w:r>
        <w:rPr>
          <w:rFonts w:ascii="仿宋_GB2312" w:eastAsia="仿宋_GB2312"/>
          <w:sz w:val="32"/>
          <w:szCs w:val="32"/>
        </w:rPr>
        <w:t>确定是否属于公开的范围，然后</w:t>
      </w:r>
      <w:r>
        <w:rPr>
          <w:rFonts w:hint="eastAsia" w:ascii="仿宋_GB2312" w:eastAsia="仿宋_GB2312"/>
          <w:sz w:val="32"/>
          <w:szCs w:val="32"/>
        </w:rPr>
        <w:t>第一时间收集、汇总申请信息，在法定期限按照申请人指定的方式进行答复。我局没有向公民、法人和其他组织收取任何与政府信息公开工作相关的费用，也没有收到政府信息公开工作的行政复议或行政诉讼。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（三）政府信息管理情况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　　我局建立健全政府信息公开工作机制，完善《奉化区发展和改革局信息公开指南》和《奉化区发展和改革局信息公开目录》，落实专人做好政府信息公开各项工作，严格执行政府信息公开的法律法规，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　　（四）政府信息公开平台建设情况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_GB2312" w:hAnsi="宋体" w:eastAsia="仿宋_GB2312"/>
          <w:color w:val="000000"/>
          <w:spacing w:val="4"/>
          <w:sz w:val="32"/>
          <w:szCs w:val="32"/>
          <w:highlight w:val="none"/>
          <w:lang w:eastAsia="zh-CN"/>
        </w:rPr>
      </w:pPr>
      <w:r>
        <w:rPr>
          <w:rFonts w:hint="eastAsia" w:ascii="仿宋_GB2312" w:hAnsi="仿宋_GB2312" w:eastAsia="仿宋_GB2312" w:cs="仿宋_GB2312"/>
          <w:sz w:val="32"/>
          <w:szCs w:val="32"/>
          <w:lang w:eastAsia="zh-CN" w:bidi="ar-SA"/>
        </w:rPr>
        <w:t>　　我局信息公开平台主要依托奉化区政府门户网站进行全文电子化公开，并充分</w:t>
      </w:r>
      <w:r>
        <w:rPr>
          <w:rFonts w:hint="eastAsia" w:ascii="仿宋_GB2312" w:hAnsi="宋体" w:eastAsia="仿宋_GB2312"/>
          <w:color w:val="000000"/>
          <w:spacing w:val="4"/>
          <w:sz w:val="32"/>
          <w:szCs w:val="32"/>
        </w:rPr>
        <w:t>利用</w:t>
      </w:r>
      <w:r>
        <w:rPr>
          <w:rFonts w:hint="eastAsia" w:ascii="仿宋_GB2312" w:hAnsi="宋体" w:eastAsia="仿宋_GB2312"/>
          <w:color w:val="000000"/>
          <w:spacing w:val="4"/>
          <w:sz w:val="32"/>
          <w:szCs w:val="32"/>
          <w:highlight w:val="none"/>
        </w:rPr>
        <w:t>浙江政务服务网、奉化区政府信息公开网、广播、电视、报纸等常规公开载体基础上，创新公开方式、拓宽公开渠道，提升公开的便捷性、服务性和实效性</w:t>
      </w:r>
      <w:r>
        <w:rPr>
          <w:rFonts w:hint="eastAsia" w:ascii="仿宋_GB2312" w:hAnsi="仿宋_GB2312" w:eastAsia="仿宋_GB2312" w:cs="仿宋_GB2312"/>
          <w:sz w:val="32"/>
          <w:szCs w:val="32"/>
          <w:highlight w:val="none"/>
          <w:lang w:eastAsia="zh-CN" w:bidi="ar-SA"/>
        </w:rPr>
        <w:t>。</w:t>
      </w:r>
      <w:r>
        <w:rPr>
          <w:rFonts w:hint="eastAsia" w:ascii="仿宋_GB2312" w:hAnsi="宋体" w:eastAsia="仿宋_GB2312"/>
          <w:color w:val="000000"/>
          <w:spacing w:val="4"/>
          <w:sz w:val="32"/>
          <w:szCs w:val="32"/>
          <w:highlight w:val="none"/>
        </w:rPr>
        <w:t>深入贯彻落实“最多跑一次”改革理念，依托投资项目在线平台3.0充分发挥“一个窗口对外、一个平台贯通”审批服务模式，加强规范投资项目过程监测、落实投资项目中后期监管、狠抓2年内立项项目开工率。紧盯</w:t>
      </w:r>
      <w:r>
        <w:rPr>
          <w:rFonts w:hint="eastAsia" w:ascii="仿宋_GB2312" w:hAnsi="宋体" w:eastAsia="仿宋_GB2312"/>
          <w:color w:val="000000"/>
          <w:spacing w:val="4"/>
          <w:sz w:val="32"/>
          <w:szCs w:val="32"/>
          <w:highlight w:val="none"/>
          <w:lang w:eastAsia="zh-CN"/>
        </w:rPr>
        <w:t>一般</w:t>
      </w:r>
      <w:r>
        <w:rPr>
          <w:rFonts w:hint="eastAsia" w:ascii="仿宋_GB2312" w:hAnsi="宋体" w:eastAsia="仿宋_GB2312"/>
          <w:color w:val="000000"/>
          <w:spacing w:val="4"/>
          <w:sz w:val="32"/>
          <w:szCs w:val="32"/>
          <w:highlight w:val="none"/>
        </w:rPr>
        <w:t>企业工业项目“最多</w:t>
      </w:r>
      <w:r>
        <w:rPr>
          <w:rFonts w:hint="eastAsia" w:ascii="仿宋_GB2312" w:hAnsi="宋体" w:eastAsia="仿宋_GB2312"/>
          <w:color w:val="000000"/>
          <w:spacing w:val="4"/>
          <w:sz w:val="32"/>
          <w:szCs w:val="32"/>
          <w:highlight w:val="none"/>
          <w:lang w:val="en-US" w:eastAsia="zh-CN"/>
        </w:rPr>
        <w:t>8</w:t>
      </w:r>
      <w:r>
        <w:rPr>
          <w:rFonts w:hint="eastAsia" w:ascii="仿宋_GB2312" w:hAnsi="宋体" w:eastAsia="仿宋_GB2312"/>
          <w:color w:val="000000"/>
          <w:spacing w:val="4"/>
          <w:sz w:val="32"/>
          <w:szCs w:val="32"/>
          <w:highlight w:val="none"/>
        </w:rPr>
        <w:t>0天”审批，探索实施“极简审批”模式，重点聚焦</w:t>
      </w:r>
      <w:r>
        <w:rPr>
          <w:rFonts w:hint="eastAsia" w:ascii="仿宋_GB2312" w:hAnsi="宋体" w:eastAsia="仿宋_GB2312"/>
          <w:color w:val="000000"/>
          <w:spacing w:val="4"/>
          <w:sz w:val="32"/>
          <w:szCs w:val="32"/>
          <w:highlight w:val="none"/>
          <w:lang w:eastAsia="zh-CN"/>
        </w:rPr>
        <w:t>重点产业项目“拿地即开工”</w:t>
      </w:r>
      <w:r>
        <w:rPr>
          <w:rFonts w:hint="eastAsia" w:ascii="仿宋_GB2312" w:hAnsi="宋体" w:eastAsia="仿宋_GB2312"/>
          <w:color w:val="000000"/>
          <w:spacing w:val="4"/>
          <w:sz w:val="32"/>
          <w:szCs w:val="32"/>
          <w:highlight w:val="none"/>
        </w:rPr>
        <w:t>改革。  </w:t>
      </w:r>
    </w:p>
    <w:p>
      <w:pPr>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bidi="ar-SA"/>
        </w:rPr>
      </w:pPr>
      <w:r>
        <w:rPr>
          <w:rFonts w:hint="eastAsia" w:ascii="仿宋_GB2312" w:hAnsi="仿宋_GB2312" w:eastAsia="仿宋_GB2312" w:cs="仿宋_GB2312"/>
          <w:sz w:val="32"/>
          <w:szCs w:val="32"/>
          <w:highlight w:val="none"/>
          <w:lang w:eastAsia="zh-CN" w:bidi="ar-SA"/>
        </w:rPr>
        <w:t>监督保障机制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600"/>
        <w:jc w:val="left"/>
        <w:textAlignment w:val="auto"/>
        <w:outlineLvl w:val="9"/>
        <w:rPr>
          <w:rFonts w:hint="eastAsia" w:ascii="黑体" w:hAnsi="黑体" w:eastAsia="黑体" w:cs="黑体"/>
          <w:sz w:val="32"/>
          <w:szCs w:val="32"/>
          <w:lang w:eastAsia="zh-CN" w:bidi="ar-SA"/>
        </w:rPr>
      </w:pPr>
      <w:r>
        <w:rPr>
          <w:rFonts w:hint="eastAsia" w:ascii="仿宋_GB2312" w:hAnsi="仿宋_GB2312" w:eastAsia="仿宋_GB2312" w:cs="仿宋_GB2312"/>
          <w:sz w:val="32"/>
          <w:szCs w:val="32"/>
          <w:lang w:eastAsia="zh-CN" w:bidi="ar-SA"/>
        </w:rPr>
        <w:t>为切实做好政务公开工作，深化主动公开内容，我局严格落实公开前保密审查工作机制。妥善处理好政务公开与保守国家秘密的关系，按照“谁公开、谁审查”“先审查、后公开”和“一事一审”的原则，在公文拟制过程中，对公开与保密进行同步审查，防止保密审查与政务公开工作脱节。实行主办科室、办公室、局领导三道公开审查机制，加强政府信息公开前的审查力度，未经审查和批准，不对外公开发布政府信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outlineLvl w:val="9"/>
        <w:rPr>
          <w:rFonts w:hint="eastAsia" w:ascii="黑体" w:hAnsi="黑体" w:eastAsia="黑体" w:cs="黑体"/>
          <w:sz w:val="32"/>
          <w:szCs w:val="32"/>
          <w:lang w:eastAsia="zh-CN" w:bidi="ar-SA"/>
        </w:rPr>
      </w:pPr>
      <w:r>
        <w:rPr>
          <w:rFonts w:hint="eastAsia" w:ascii="黑体" w:hAnsi="黑体" w:eastAsia="黑体" w:cs="黑体"/>
          <w:sz w:val="32"/>
          <w:szCs w:val="32"/>
          <w:lang w:eastAsia="zh-CN" w:bidi="ar-SA"/>
        </w:rPr>
        <w:t>二、主动公开政府信息情况</w:t>
      </w:r>
    </w:p>
    <w:tbl>
      <w:tblPr>
        <w:tblStyle w:val="4"/>
        <w:tblW w:w="8140" w:type="dxa"/>
        <w:jc w:val="center"/>
        <w:tblLayout w:type="fixed"/>
        <w:tblCellMar>
          <w:top w:w="0" w:type="dxa"/>
          <w:left w:w="0" w:type="dxa"/>
          <w:bottom w:w="0" w:type="dxa"/>
          <w:right w:w="0" w:type="dxa"/>
        </w:tblCellMar>
      </w:tblPr>
      <w:tblGrid>
        <w:gridCol w:w="3113"/>
        <w:gridCol w:w="1765"/>
        <w:gridCol w:w="1517"/>
        <w:gridCol w:w="1745"/>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76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eastAsia="宋体"/>
                <w:lang w:val="en-US" w:eastAsia="zh-CN"/>
              </w:rP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制发件数</w:t>
            </w:r>
          </w:p>
        </w:tc>
        <w:tc>
          <w:tcPr>
            <w:tcW w:w="151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废止件数</w:t>
            </w:r>
          </w:p>
        </w:tc>
        <w:tc>
          <w:tcPr>
            <w:tcW w:w="174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cs="宋体"/>
                <w:color w:val="000000"/>
                <w:kern w:val="0"/>
                <w:sz w:val="20"/>
                <w:szCs w:val="20"/>
                <w:lang w:val="en-US" w:eastAsia="zh-CN" w:bidi="ar"/>
              </w:rPr>
              <w:t>现行有效件数</w:t>
            </w:r>
          </w:p>
        </w:tc>
      </w:tr>
      <w:tr>
        <w:tblPrEx>
          <w:tblCellMar>
            <w:top w:w="0" w:type="dxa"/>
            <w:left w:w="0" w:type="dxa"/>
            <w:bottom w:w="0" w:type="dxa"/>
            <w:right w:w="0" w:type="dxa"/>
          </w:tblCellMar>
        </w:tblPrEx>
        <w:trPr>
          <w:trHeight w:val="41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规章</w:t>
            </w:r>
          </w:p>
        </w:tc>
        <w:tc>
          <w:tcPr>
            <w:tcW w:w="176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151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174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pPr>
            <w:r>
              <w:rPr>
                <w:rFonts w:hint="eastAsia" w:ascii="宋体" w:hAnsi="宋体" w:cs="宋体"/>
                <w:color w:val="000000"/>
                <w:kern w:val="0"/>
                <w:sz w:val="20"/>
                <w:szCs w:val="20"/>
                <w:lang w:val="en-US" w:eastAsia="zh-CN" w:bidi="ar"/>
              </w:rPr>
              <w:t>行政</w:t>
            </w:r>
            <w:r>
              <w:rPr>
                <w:rFonts w:hint="eastAsia" w:ascii="宋体" w:hAnsi="宋体" w:eastAsia="宋体" w:cs="宋体"/>
                <w:color w:val="000000"/>
                <w:kern w:val="0"/>
                <w:sz w:val="20"/>
                <w:szCs w:val="20"/>
                <w:lang w:val="en-US" w:eastAsia="zh-CN" w:bidi="ar"/>
              </w:rPr>
              <w:t>规范性文件</w:t>
            </w:r>
          </w:p>
        </w:tc>
        <w:tc>
          <w:tcPr>
            <w:tcW w:w="176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2</w:t>
            </w:r>
          </w:p>
        </w:tc>
        <w:tc>
          <w:tcPr>
            <w:tcW w:w="151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eastAsia="宋体"/>
                <w:lang w:val="en-US" w:eastAsia="zh-CN"/>
              </w:rPr>
            </w:pPr>
            <w:r>
              <w:rPr>
                <w:rFonts w:hint="eastAsia"/>
                <w:lang w:val="en-US" w:eastAsia="zh-CN"/>
              </w:rPr>
              <w:t>15</w:t>
            </w:r>
          </w:p>
        </w:tc>
        <w:tc>
          <w:tcPr>
            <w:tcW w:w="174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22</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highlight w:val="none"/>
              </w:rPr>
            </w:pPr>
            <w:r>
              <w:rPr>
                <w:rFonts w:hint="eastAsia" w:ascii="宋体" w:hAnsi="宋体" w:eastAsia="宋体" w:cs="宋体"/>
                <w:color w:val="000000"/>
                <w:kern w:val="0"/>
                <w:sz w:val="20"/>
                <w:szCs w:val="20"/>
                <w:highlight w:val="none"/>
                <w:lang w:val="en-US" w:eastAsia="zh-CN" w:bidi="ar"/>
              </w:rPr>
              <w:t>信息内容</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highlight w:val="none"/>
              </w:rPr>
            </w:pPr>
            <w:r>
              <w:rPr>
                <w:rFonts w:hint="eastAsia" w:ascii="宋体" w:hAnsi="宋体" w:cs="宋体"/>
                <w:color w:val="000000"/>
                <w:kern w:val="0"/>
                <w:sz w:val="20"/>
                <w:szCs w:val="20"/>
                <w:highlight w:val="none"/>
                <w:lang w:val="en-US" w:eastAsia="zh-CN" w:bidi="ar"/>
              </w:rPr>
              <w:t>本年</w:t>
            </w:r>
            <w:r>
              <w:rPr>
                <w:rFonts w:hint="eastAsia" w:ascii="宋体" w:hAnsi="宋体" w:eastAsia="宋体" w:cs="宋体"/>
                <w:color w:val="000000"/>
                <w:kern w:val="0"/>
                <w:sz w:val="20"/>
                <w:szCs w:val="20"/>
                <w:highlight w:val="none"/>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highlight w:val="none"/>
              </w:rPr>
            </w:pPr>
            <w:r>
              <w:rPr>
                <w:rFonts w:hint="eastAsia" w:ascii="宋体" w:hAnsi="宋体" w:eastAsia="宋体" w:cs="宋体"/>
                <w:color w:val="000000"/>
                <w:kern w:val="0"/>
                <w:sz w:val="20"/>
                <w:szCs w:val="20"/>
                <w:highlight w:val="none"/>
                <w:lang w:val="en-US" w:eastAsia="zh-CN"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highlight w:val="none"/>
                <w:lang w:val="en-US" w:eastAsia="zh-CN"/>
              </w:rPr>
            </w:pPr>
            <w:r>
              <w:rPr>
                <w:rFonts w:hint="eastAsia" w:ascii="宋体" w:hAnsi="宋体" w:cs="宋体"/>
                <w:highlight w:val="none"/>
                <w:lang w:val="en-US" w:eastAsia="zh-CN"/>
              </w:rPr>
              <w:t>31</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6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3"/>
        <w:gridCol w:w="2045"/>
        <w:gridCol w:w="808"/>
        <w:gridCol w:w="751"/>
        <w:gridCol w:w="751"/>
        <w:gridCol w:w="808"/>
        <w:gridCol w:w="987"/>
        <w:gridCol w:w="726"/>
        <w:gridCol w:w="7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4"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57"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4"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0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自然人</w:t>
            </w:r>
          </w:p>
        </w:tc>
        <w:tc>
          <w:tcPr>
            <w:tcW w:w="402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法人或其他组织</w:t>
            </w:r>
          </w:p>
        </w:tc>
        <w:tc>
          <w:tcPr>
            <w:tcW w:w="726"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4"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0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商业企业</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科研机构</w:t>
            </w:r>
          </w:p>
        </w:tc>
        <w:tc>
          <w:tcPr>
            <w:tcW w:w="80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社会公益组织</w:t>
            </w:r>
          </w:p>
        </w:tc>
        <w:tc>
          <w:tcPr>
            <w:tcW w:w="98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法律服务机构</w:t>
            </w:r>
          </w:p>
        </w:tc>
        <w:tc>
          <w:tcPr>
            <w:tcW w:w="7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w:t>
            </w:r>
          </w:p>
        </w:tc>
        <w:tc>
          <w:tcPr>
            <w:tcW w:w="72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4"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一、本年新收政府信息公开申请数量</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22</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400" w:firstLineChars="200"/>
              <w:jc w:val="both"/>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right="0" w:firstLine="200" w:firstLineChars="100"/>
              <w:jc w:val="both"/>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200" w:firstLineChars="100"/>
              <w:jc w:val="both"/>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4"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二、上年结转政府信息公开申请数量</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1</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400" w:firstLineChars="200"/>
              <w:jc w:val="both"/>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200" w:firstLineChars="100"/>
              <w:jc w:val="both"/>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200" w:firstLineChars="100"/>
              <w:jc w:val="both"/>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289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7</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right="0" w:firstLine="400" w:firstLineChars="200"/>
              <w:jc w:val="both"/>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200" w:firstLineChars="100"/>
              <w:jc w:val="both"/>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firstLine="200" w:firstLineChars="100"/>
              <w:jc w:val="both"/>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89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2</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4.保护第三方合法权益</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14</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0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89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hAnsi="宋体" w:eastAsia="宋体" w:cs="宋体"/>
                <w:sz w:val="20"/>
                <w:szCs w:val="20"/>
              </w:rPr>
            </w:pPr>
          </w:p>
        </w:tc>
        <w:tc>
          <w:tcPr>
            <w:tcW w:w="289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23</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4"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left"/>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75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8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98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7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四、政府信息公开行政复议、行政诉讼情况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333333"/>
          <w:spacing w:val="0"/>
          <w:sz w:val="24"/>
          <w:szCs w:val="24"/>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N/>
              <w:bidi w:val="0"/>
              <w:adjustRightInd/>
              <w:snapToGrid/>
              <w:spacing w:line="360" w:lineRule="auto"/>
              <w:textAlignment w:val="auto"/>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 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 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 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 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 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180" w:afterAutospacing="0" w:line="360" w:lineRule="auto"/>
              <w:ind w:left="0" w:right="0"/>
              <w:jc w:val="center"/>
              <w:textAlignment w:val="auto"/>
              <w:rPr>
                <w:rFonts w:hint="eastAsia"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五、存在的主要问题及改进情况</w:t>
      </w:r>
    </w:p>
    <w:p>
      <w:pPr>
        <w:pStyle w:val="2"/>
        <w:rPr>
          <w:rFonts w:hint="eastAsia" w:ascii="仿宋_GB2312" w:hAnsi="仿宋_GB2312" w:eastAsia="仿宋_GB2312" w:cs="仿宋_GB2312"/>
          <w:snapToGrid w:val="0"/>
          <w:kern w:val="2"/>
          <w:sz w:val="32"/>
          <w:szCs w:val="32"/>
          <w:lang w:val="en-US" w:eastAsia="zh-CN"/>
        </w:rPr>
      </w:pPr>
      <w:r>
        <w:rPr>
          <w:rFonts w:hint="eastAsia" w:ascii="仿宋_GB2312" w:hAnsi="仿宋_GB2312" w:eastAsia="仿宋_GB2312" w:cs="仿宋_GB2312"/>
          <w:snapToGrid w:val="0"/>
          <w:kern w:val="2"/>
          <w:sz w:val="32"/>
          <w:szCs w:val="32"/>
          <w:lang w:val="en-US" w:eastAsia="zh-CN"/>
        </w:rPr>
        <w:t>2022年，区发改局政府信息公开工作扎实稳步推进，取得一定成效，但对照新形势、新任务、新要求，仍存在一些薄弱环节和问题，包括公开工作机制完善、公开信息质量提升、创新性政策解读、通过政府信息公开工作增强人民群众获得感和满意度等方面有待进一步提升。2023年，我局将着力丰富信息公开内容、特别是群众关切的重大问题、重大决策，并增强公开信息可读性，拓宽解读渠道，实现以图文解读为主，其他解读方式为辅的政策解读新局面，</w:t>
      </w:r>
    </w:p>
    <w:p>
      <w:pPr>
        <w:keepNext w:val="0"/>
        <w:keepLines w:val="0"/>
        <w:pageBreakBefore w:val="0"/>
        <w:kinsoku/>
        <w:overflowPunct/>
        <w:topLinePunct w:val="0"/>
        <w:autoSpaceDN/>
        <w:bidi w:val="0"/>
        <w:adjustRightInd/>
        <w:snapToGrid/>
        <w:spacing w:line="360" w:lineRule="auto"/>
        <w:ind w:firstLine="640" w:firstLineChars="200"/>
        <w:textAlignment w:val="auto"/>
        <w:rPr>
          <w:rFonts w:hint="eastAsia" w:ascii="黑体" w:hAnsi="黑体" w:eastAsia="黑体" w:cs="仿宋"/>
          <w:sz w:val="32"/>
          <w:szCs w:val="32"/>
          <w:lang w:bidi="ar-SA"/>
        </w:rPr>
      </w:pPr>
      <w:r>
        <w:rPr>
          <w:rFonts w:hint="eastAsia" w:ascii="黑体" w:hAnsi="黑体" w:eastAsia="黑体" w:cs="仿宋"/>
          <w:sz w:val="32"/>
          <w:szCs w:val="32"/>
          <w:lang w:bidi="ar-SA"/>
        </w:rPr>
        <w:t>六、其他需要报告的事项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rPr>
          <w:rFonts w:hint="eastAsia" w:ascii="仿宋_GB2312" w:hAnsi="仿宋_GB2312" w:eastAsia="仿宋_GB2312"/>
          <w:sz w:val="32"/>
          <w:szCs w:val="32"/>
          <w:lang w:eastAsia="zh-CN"/>
        </w:rPr>
        <w:t>今年本单位无收取信息处理费情况。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7A64C"/>
    <w:multiLevelType w:val="singleLevel"/>
    <w:tmpl w:val="A957A64C"/>
    <w:lvl w:ilvl="0" w:tentative="0">
      <w:start w:val="2"/>
      <w:numFmt w:val="chineseCounting"/>
      <w:suff w:val="nothing"/>
      <w:lvlText w:val="（%1）"/>
      <w:lvlJc w:val="left"/>
      <w:pPr>
        <w:ind w:left="640" w:leftChars="0" w:firstLine="0" w:firstLineChars="0"/>
      </w:pPr>
      <w:rPr>
        <w:rFonts w:hint="eastAsia"/>
      </w:rPr>
    </w:lvl>
  </w:abstractNum>
  <w:abstractNum w:abstractNumId="1">
    <w:nsid w:val="B63DE44B"/>
    <w:multiLevelType w:val="singleLevel"/>
    <w:tmpl w:val="B63DE44B"/>
    <w:lvl w:ilvl="0" w:tentative="0">
      <w:start w:val="1"/>
      <w:numFmt w:val="chineseCounting"/>
      <w:suff w:val="nothing"/>
      <w:lvlText w:val="%1、"/>
      <w:lvlJc w:val="left"/>
      <w:rPr>
        <w:rFonts w:hint="eastAsia"/>
      </w:rPr>
    </w:lvl>
  </w:abstractNum>
  <w:abstractNum w:abstractNumId="2">
    <w:nsid w:val="2404C24B"/>
    <w:multiLevelType w:val="singleLevel"/>
    <w:tmpl w:val="2404C24B"/>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044B1"/>
    <w:rsid w:val="00291A66"/>
    <w:rsid w:val="03F16818"/>
    <w:rsid w:val="0A061996"/>
    <w:rsid w:val="0A0C4C32"/>
    <w:rsid w:val="0AB54436"/>
    <w:rsid w:val="0B011AE4"/>
    <w:rsid w:val="0CD568C7"/>
    <w:rsid w:val="104D589C"/>
    <w:rsid w:val="108058B8"/>
    <w:rsid w:val="16971D70"/>
    <w:rsid w:val="1727272E"/>
    <w:rsid w:val="19C23B96"/>
    <w:rsid w:val="1ABD6859"/>
    <w:rsid w:val="1C372D03"/>
    <w:rsid w:val="1DE05CCA"/>
    <w:rsid w:val="1FE01A26"/>
    <w:rsid w:val="20996B10"/>
    <w:rsid w:val="25C52049"/>
    <w:rsid w:val="276371D8"/>
    <w:rsid w:val="27B51238"/>
    <w:rsid w:val="2A307B17"/>
    <w:rsid w:val="2AEA6BF2"/>
    <w:rsid w:val="2C0F5ABB"/>
    <w:rsid w:val="316F7934"/>
    <w:rsid w:val="34F029BA"/>
    <w:rsid w:val="362210CE"/>
    <w:rsid w:val="37BB292A"/>
    <w:rsid w:val="3C670507"/>
    <w:rsid w:val="3C837DEE"/>
    <w:rsid w:val="3D1416E8"/>
    <w:rsid w:val="3E4044B1"/>
    <w:rsid w:val="3E937C15"/>
    <w:rsid w:val="41C076F9"/>
    <w:rsid w:val="450543CA"/>
    <w:rsid w:val="45F46C61"/>
    <w:rsid w:val="46075285"/>
    <w:rsid w:val="47C574F7"/>
    <w:rsid w:val="48DD4A75"/>
    <w:rsid w:val="49205DC7"/>
    <w:rsid w:val="4CC47781"/>
    <w:rsid w:val="4CCB667B"/>
    <w:rsid w:val="54F023C8"/>
    <w:rsid w:val="55841A4A"/>
    <w:rsid w:val="57240875"/>
    <w:rsid w:val="581164C4"/>
    <w:rsid w:val="58637D4F"/>
    <w:rsid w:val="59DE5CBD"/>
    <w:rsid w:val="5A143778"/>
    <w:rsid w:val="5CDC58A0"/>
    <w:rsid w:val="5D4B6DAE"/>
    <w:rsid w:val="64C73818"/>
    <w:rsid w:val="696013BD"/>
    <w:rsid w:val="6DE12548"/>
    <w:rsid w:val="6FD90E0B"/>
    <w:rsid w:val="71A6458F"/>
    <w:rsid w:val="71E5788F"/>
    <w:rsid w:val="731D00E3"/>
    <w:rsid w:val="795F14E0"/>
    <w:rsid w:val="7D486F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2020-01-20T00:53:00Z</dcterms:created>
  <dc:creator>adminn</dc:creator>
  <cp:lastModifiedBy>Administrator</cp:lastModifiedBy>
  <cp:lastPrinted>2020-01-20T02:22:00Z</cp:lastPrinted>
  <dcterms:modified xsi:type="dcterms:W3CDTF">2023-06-08T03:02:04Z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