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宁波市奉化区人民政府20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本年度报告根据《中华人民共和国政府信息公开条例》（以下简称《条例》）的要求，结合宁波市奉化区人民政府20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年度政府信息公开工作编制。全文包括总体情况、</w:t>
      </w:r>
      <w:r>
        <w:rPr>
          <w:rFonts w:hint="eastAsia" w:ascii="仿宋_GB2312" w:hAnsi="仿宋_GB2312" w:eastAsia="仿宋_GB2312" w:cs="仿宋_GB2312"/>
          <w:sz w:val="32"/>
          <w:szCs w:val="32"/>
          <w:lang w:val="en-US" w:eastAsia="zh-CN"/>
        </w:rPr>
        <w:t>行政机关</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val="en-US" w:eastAsia="zh-CN"/>
        </w:rPr>
        <w:t>行政机关</w:t>
      </w:r>
      <w:r>
        <w:rPr>
          <w:rFonts w:hint="eastAsia" w:ascii="仿宋_GB2312" w:hAnsi="仿宋_GB2312" w:eastAsia="仿宋_GB2312" w:cs="仿宋_GB2312"/>
          <w:sz w:val="32"/>
          <w:szCs w:val="32"/>
        </w:rPr>
        <w:t>收到和处理政府信息公开申请情况、因政府信息公开工作被申请行政复议和提起行政诉讼情况、政府信息公开工作存在的主要问题及改进情况及其他需要报告的事项等六部分组成。本年度报告中所列数据统计期限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到12月31日止。本报告的电子版可在奉化区政府网站（www.fh.gov.cn）下载。如对报告有任何疑问，请与奉化区人民政府办公室联系（地址：宁波市奉化区锦屏南路1号，邮编：315500，电话:0574-89286053,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"mailto:fenghua@ningbo.gov.cn）。"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fenghua@ningbo.gov.cn）。</w:t>
      </w:r>
      <w:r>
        <w:rPr>
          <w:rFonts w:hint="eastAsia" w:ascii="仿宋_GB2312" w:hAnsi="仿宋_GB2312" w:eastAsia="仿宋_GB2312" w:cs="仿宋_GB2312"/>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年，奉化区坚持以习近平新时代中国特色社会主义思想为指导，围绕区委、区政府中心工作，着力提升政务公开标准化规范化水平，充分发挥政务公开助力建设现代化滨海大都市健康美丽新城区积极作用。</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主动公开情况。</w:t>
      </w:r>
      <w:r>
        <w:rPr>
          <w:rFonts w:hint="eastAsia" w:ascii="仿宋_GB2312" w:hAnsi="仿宋_GB2312" w:eastAsia="仿宋_GB2312" w:cs="仿宋_GB2312"/>
          <w:sz w:val="32"/>
          <w:szCs w:val="32"/>
          <w:u w:val="none"/>
        </w:rPr>
        <w:t>政府网站全年公开信息26249条，政府公报公开信息</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期，“奉化发布”政务微博、微信分别公开信息4950条和1120条，其他方式（“掌上奉化”APP）公开信息18250条。举办新闻发布</w:t>
      </w:r>
      <w:r>
        <w:rPr>
          <w:rFonts w:hint="eastAsia" w:ascii="仿宋_GB2312" w:hAnsi="仿宋_GB2312" w:eastAsia="仿宋_GB2312" w:cs="仿宋_GB2312"/>
          <w:sz w:val="32"/>
          <w:szCs w:val="32"/>
          <w:u w:val="none"/>
          <w:lang w:eastAsia="zh-CN"/>
        </w:rPr>
        <w:t>会</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次，政府网站在线访谈</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rPr>
        <w:t>9次。</w:t>
      </w:r>
      <w:r>
        <w:rPr>
          <w:rFonts w:hint="eastAsia" w:ascii="仿宋_GB2312" w:hAnsi="仿宋_GB2312" w:eastAsia="仿宋_GB2312" w:cs="仿宋_GB2312"/>
          <w:sz w:val="32"/>
          <w:szCs w:val="32"/>
          <w:lang w:eastAsia="zh-CN"/>
        </w:rPr>
        <w:t>图解解读文件</w:t>
      </w:r>
      <w:r>
        <w:rPr>
          <w:rFonts w:hint="eastAsia" w:ascii="仿宋_GB2312" w:hAnsi="仿宋_GB2312" w:eastAsia="仿宋_GB2312" w:cs="仿宋_GB2312"/>
          <w:sz w:val="32"/>
          <w:szCs w:val="32"/>
          <w:lang w:val="en-US" w:eastAsia="zh-CN"/>
        </w:rPr>
        <w:t>82件，视频解读文件12件。</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（二）依申请公开情况。</w:t>
      </w:r>
      <w:r>
        <w:rPr>
          <w:rFonts w:hint="eastAsia" w:ascii="仿宋_GB2312" w:hAnsi="仿宋_GB2312" w:eastAsia="仿宋_GB2312" w:cs="仿宋_GB2312"/>
          <w:sz w:val="32"/>
          <w:szCs w:val="32"/>
          <w:u w:val="none"/>
          <w:lang w:val="en-US" w:eastAsia="zh-CN"/>
        </w:rPr>
        <w:t>今年以来，全区高效办结依申请公开5</w:t>
      </w:r>
      <w:r>
        <w:rPr>
          <w:rFonts w:hint="default" w:ascii="仿宋_GB2312" w:hAnsi="仿宋_GB2312" w:eastAsia="仿宋_GB2312" w:cs="仿宋_GB2312"/>
          <w:sz w:val="32"/>
          <w:szCs w:val="32"/>
          <w:u w:val="none"/>
          <w:lang w:val="en-US" w:eastAsia="zh-CN"/>
        </w:rPr>
        <w:t>18</w:t>
      </w:r>
      <w:r>
        <w:rPr>
          <w:rFonts w:hint="eastAsia" w:ascii="仿宋_GB2312" w:hAnsi="仿宋_GB2312" w:eastAsia="仿宋_GB2312" w:cs="仿宋_GB2312"/>
          <w:sz w:val="32"/>
          <w:szCs w:val="32"/>
          <w:u w:val="none"/>
          <w:lang w:val="en-US" w:eastAsia="zh-CN"/>
        </w:rPr>
        <w:t>件，因信息</w:t>
      </w:r>
      <w:bookmarkStart w:id="0" w:name="_GoBack"/>
      <w:bookmarkEnd w:id="0"/>
      <w:r>
        <w:rPr>
          <w:rFonts w:hint="eastAsia" w:ascii="仿宋_GB2312" w:hAnsi="仿宋_GB2312" w:eastAsia="仿宋_GB2312" w:cs="仿宋_GB2312"/>
          <w:sz w:val="32"/>
          <w:szCs w:val="32"/>
          <w:u w:val="none"/>
          <w:lang w:val="en-US" w:eastAsia="zh-CN"/>
        </w:rPr>
        <w:t>公开引起行政复议2起，引起行政诉讼3起，其中1起诉讼案件尚在审理中，其余4起均未被纠错或者败诉。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（三）政府信息管理情况。</w:t>
      </w:r>
      <w:r>
        <w:rPr>
          <w:rFonts w:hint="eastAsia" w:ascii="仿宋_GB2312" w:hAnsi="仿宋_GB2312" w:eastAsia="仿宋_GB2312" w:cs="仿宋_GB2312"/>
          <w:sz w:val="32"/>
          <w:szCs w:val="32"/>
          <w:lang w:val="en-US" w:eastAsia="zh-CN"/>
        </w:rPr>
        <w:t>印发《2022年宁波市奉化区政务公开工作任务分解》，督促压实各相关单位工作责任。根据《奉化区人民政府信息依申请公开转主动公开工作制度》，今年以来，全区共有23条依申请公开政府信息转为主动公开。</w:t>
      </w:r>
      <w:r>
        <w:rPr>
          <w:rFonts w:hint="eastAsia" w:ascii="仿宋_GB2312" w:hAnsi="仿宋_GB2312" w:eastAsia="仿宋_GB2312" w:cs="仿宋_GB2312"/>
          <w:sz w:val="32"/>
          <w:szCs w:val="32"/>
          <w:u w:val="none"/>
          <w:lang w:val="en-US" w:eastAsia="zh-CN"/>
        </w:rPr>
        <w:t>印发《关于做好政务公开敏感信息问题自查工作的通知》，重点围绕身份证号、手机号、金融账号、健康状况等敏感个人信息开展自查整改，共发现敏感个人信息386条，均按要求完成整改。</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（四）政府信息公开平台建设情况。</w:t>
      </w:r>
      <w:r>
        <w:rPr>
          <w:rFonts w:hint="eastAsia" w:ascii="仿宋_GB2312" w:hAnsi="仿宋_GB2312" w:eastAsia="仿宋_GB2312" w:cs="仿宋_GB2312"/>
          <w:sz w:val="32"/>
          <w:szCs w:val="32"/>
          <w:u w:val="none"/>
          <w:lang w:val="en-US" w:eastAsia="zh-CN"/>
        </w:rPr>
        <w:t>全区所有政府部门网站已全部关停，统一归集至省政府集约化平台，实现政策文件等栏目信息同源发布。奉化区共有46个政务新媒体账号纳入规范化建设工作，目前已注销41个，建成纵向以“奉化发布”为龙头、横向以公安、卫健、教育、文旅等民生领域部门账号为主体，整体联动、集体发声的政务新媒体矩阵，充分发挥政务新媒体推动政府职能转变、建设服务型政府的重要作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lang w:val="en-US" w:eastAsia="zh-CN"/>
        </w:rPr>
      </w:pPr>
      <w:r>
        <w:rPr>
          <w:rFonts w:hint="eastAsia" w:ascii="楷体_GB2312" w:hAnsi="楷体_GB2312" w:eastAsia="楷体_GB2312" w:cs="楷体_GB2312"/>
          <w:sz w:val="32"/>
          <w:szCs w:val="32"/>
          <w:lang w:val="en-US" w:eastAsia="zh-CN"/>
        </w:rPr>
        <w:t>（五）监督保障情况。</w:t>
      </w:r>
      <w:r>
        <w:rPr>
          <w:rFonts w:hint="eastAsia" w:ascii="仿宋_GB2312" w:hAnsi="黑体" w:eastAsia="仿宋_GB2312"/>
          <w:sz w:val="32"/>
          <w:szCs w:val="32"/>
        </w:rPr>
        <w:t>围绕政务公开重点工作、薄弱环节加大考核力度，</w:t>
      </w:r>
      <w:r>
        <w:rPr>
          <w:rFonts w:hint="eastAsia" w:ascii="仿宋_GB2312" w:hAnsi="黑体" w:eastAsia="仿宋_GB2312"/>
          <w:sz w:val="32"/>
          <w:szCs w:val="32"/>
          <w:lang w:val="en-US" w:eastAsia="zh-CN"/>
        </w:rPr>
        <w:t>通过制定奉化区政务</w:t>
      </w:r>
      <w:r>
        <w:rPr>
          <w:rFonts w:hint="eastAsia" w:ascii="仿宋_GB2312" w:hAnsi="仿宋_GB2312" w:eastAsia="仿宋_GB2312" w:cs="仿宋_GB2312"/>
          <w:sz w:val="32"/>
          <w:szCs w:val="32"/>
        </w:rPr>
        <w:t>信息</w:t>
      </w:r>
      <w:r>
        <w:rPr>
          <w:rFonts w:hint="eastAsia" w:ascii="仿宋_GB2312" w:hAnsi="黑体" w:eastAsia="仿宋_GB2312"/>
          <w:sz w:val="32"/>
          <w:szCs w:val="32"/>
          <w:lang w:val="en-US" w:eastAsia="zh-CN"/>
        </w:rPr>
        <w:t>公开</w:t>
      </w:r>
      <w:r>
        <w:rPr>
          <w:rFonts w:hint="eastAsia" w:ascii="仿宋_GB2312" w:hAnsi="仿宋_GB2312" w:eastAsia="仿宋_GB2312" w:cs="仿宋_GB2312"/>
          <w:sz w:val="32"/>
          <w:szCs w:val="32"/>
        </w:rPr>
        <w:t>考核及评分</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进一步明确考核得分依据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持续推进</w:t>
      </w:r>
      <w:r>
        <w:rPr>
          <w:rFonts w:hint="eastAsia" w:ascii="仿宋_GB2312" w:hAnsi="仿宋_GB2312" w:eastAsia="仿宋_GB2312" w:cs="仿宋_GB2312"/>
          <w:sz w:val="32"/>
          <w:szCs w:val="32"/>
        </w:rPr>
        <w:t>政府信息公开社会评议制度，</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年度政务公开工作社会评议调查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期间共收到有效反馈信息</w:t>
      </w:r>
      <w:r>
        <w:rPr>
          <w:rFonts w:hint="eastAsia" w:ascii="仿宋_GB2312" w:hAnsi="仿宋_GB2312" w:eastAsia="仿宋_GB2312" w:cs="仿宋_GB2312"/>
          <w:sz w:val="32"/>
          <w:szCs w:val="32"/>
          <w:highlight w:val="none"/>
          <w:lang w:val="en-US" w:eastAsia="zh-CN"/>
        </w:rPr>
        <w:t>812</w:t>
      </w:r>
      <w:r>
        <w:rPr>
          <w:rFonts w:hint="eastAsia" w:ascii="仿宋_GB2312" w:hAnsi="仿宋_GB2312" w:eastAsia="仿宋_GB2312" w:cs="仿宋_GB2312"/>
          <w:sz w:val="32"/>
          <w:szCs w:val="32"/>
          <w:lang w:val="en-US" w:eastAsia="zh-CN"/>
        </w:rPr>
        <w:t>条，根据调查数据，研究形成《奉化区2022年政务公开社会评议调查报告》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不断健全完善</w:t>
      </w:r>
      <w:r>
        <w:rPr>
          <w:rFonts w:hint="eastAsia" w:ascii="仿宋_GB2312" w:hAnsi="仿宋_GB2312" w:eastAsia="仿宋_GB2312" w:cs="仿宋_GB2312"/>
          <w:sz w:val="32"/>
          <w:szCs w:val="32"/>
        </w:rPr>
        <w:t>政府信息公开责任追究制度，</w:t>
      </w:r>
      <w:r>
        <w:rPr>
          <w:rFonts w:hint="eastAsia" w:ascii="仿宋_GB2312" w:hAnsi="仿宋_GB2312" w:eastAsia="仿宋_GB2312" w:cs="仿宋_GB2312"/>
          <w:sz w:val="32"/>
          <w:szCs w:val="32"/>
          <w:lang w:val="en-US" w:eastAsia="zh-CN"/>
        </w:rPr>
        <w:t>2022年度</w:t>
      </w:r>
      <w:r>
        <w:rPr>
          <w:rFonts w:hint="eastAsia" w:ascii="仿宋_GB2312" w:hAnsi="仿宋_GB2312" w:eastAsia="仿宋_GB2312" w:cs="仿宋_GB2312"/>
          <w:sz w:val="32"/>
          <w:szCs w:val="32"/>
        </w:rPr>
        <w:t>未发生因政务公开工作被追究责任的情况。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二、主动公开政府信息情况</w:t>
      </w:r>
    </w:p>
    <w:tbl>
      <w:tblPr>
        <w:tblStyle w:val="7"/>
        <w:tblW w:w="8140" w:type="dxa"/>
        <w:jc w:val="center"/>
        <w:tblLayout w:type="fixed"/>
        <w:tblCellMar>
          <w:top w:w="0" w:type="dxa"/>
          <w:left w:w="0" w:type="dxa"/>
          <w:bottom w:w="0" w:type="dxa"/>
          <w:right w:w="0" w:type="dxa"/>
        </w:tblCellMar>
      </w:tblPr>
      <w:tblGrid>
        <w:gridCol w:w="3113"/>
        <w:gridCol w:w="1730"/>
        <w:gridCol w:w="1416"/>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1730"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本年</w:t>
            </w:r>
            <w:r>
              <w:rPr>
                <w:rFonts w:hint="eastAsia" w:ascii="宋体" w:hAnsi="宋体" w:cs="宋体"/>
                <w:color w:val="000000"/>
                <w:kern w:val="0"/>
                <w:sz w:val="20"/>
                <w:szCs w:val="20"/>
                <w:lang w:bidi="ar"/>
              </w:rPr>
              <w:t>制发件数</w:t>
            </w:r>
          </w:p>
        </w:tc>
        <w:tc>
          <w:tcPr>
            <w:tcW w:w="141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本年</w:t>
            </w:r>
            <w:r>
              <w:rPr>
                <w:rFonts w:hint="eastAsia" w:ascii="宋体" w:hAnsi="宋体" w:cs="宋体"/>
                <w:color w:val="000000"/>
                <w:kern w:val="0"/>
                <w:sz w:val="20"/>
                <w:szCs w:val="20"/>
                <w:lang w:bidi="ar"/>
              </w:rPr>
              <w:t>废止件数</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eastAsia="宋体"/>
              </w:rPr>
            </w:pPr>
            <w:r>
              <w:rPr>
                <w:rFonts w:hint="eastAsia"/>
              </w:rPr>
              <w:t>现行有效件数</w:t>
            </w:r>
          </w:p>
        </w:tc>
      </w:tr>
      <w:tr>
        <w:tblPrEx>
          <w:tblCellMar>
            <w:top w:w="0" w:type="dxa"/>
            <w:left w:w="0" w:type="dxa"/>
            <w:bottom w:w="0" w:type="dxa"/>
            <w:right w:w="0" w:type="dxa"/>
          </w:tblCellMar>
        </w:tblPrEx>
        <w:trPr>
          <w:trHeight w:val="47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规章</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141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3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cs="宋体"/>
                <w:color w:val="000000"/>
                <w:kern w:val="0"/>
                <w:sz w:val="20"/>
                <w:szCs w:val="20"/>
                <w:lang w:bidi="ar"/>
              </w:rPr>
              <w:t>行政</w:t>
            </w:r>
            <w:r>
              <w:rPr>
                <w:rFonts w:hint="eastAsia" w:ascii="宋体" w:hAnsi="宋体" w:eastAsia="宋体" w:cs="宋体"/>
                <w:color w:val="000000"/>
                <w:kern w:val="0"/>
                <w:sz w:val="20"/>
                <w:szCs w:val="20"/>
                <w:lang w:bidi="ar"/>
              </w:rPr>
              <w:t>规范性文件</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lang w:val="en-US" w:eastAsia="zh-CN"/>
              </w:rPr>
            </w:pPr>
            <w:r>
              <w:rPr>
                <w:rFonts w:hint="eastAsia"/>
                <w:lang w:val="en-US" w:eastAsia="zh-CN"/>
              </w:rPr>
              <w:t>20</w:t>
            </w:r>
          </w:p>
        </w:tc>
        <w:tc>
          <w:tcPr>
            <w:tcW w:w="141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lang w:val="en-US" w:eastAsia="zh-CN"/>
              </w:rPr>
            </w:pPr>
            <w:r>
              <w:rPr>
                <w:rFonts w:hint="eastAsia"/>
                <w:lang w:val="en-US" w:eastAsia="zh-CN"/>
              </w:rPr>
              <w:t>15</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lang w:val="en-US" w:eastAsia="zh-CN"/>
              </w:rPr>
            </w:pPr>
            <w:r>
              <w:rPr>
                <w:rFonts w:hint="eastAsia"/>
                <w:lang w:val="en-US" w:eastAsia="zh-CN"/>
              </w:rPr>
              <w:t>243</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51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cs="宋体"/>
                <w:color w:val="000000"/>
                <w:kern w:val="0"/>
                <w:sz w:val="20"/>
                <w:szCs w:val="20"/>
                <w:lang w:bidi="ar"/>
              </w:rPr>
              <w:t>本年</w:t>
            </w:r>
            <w:r>
              <w:rPr>
                <w:rFonts w:hint="eastAsia" w:ascii="宋体" w:hAnsi="宋体" w:eastAsia="宋体" w:cs="宋体"/>
                <w:color w:val="000000"/>
                <w:kern w:val="0"/>
                <w:sz w:val="20"/>
                <w:szCs w:val="20"/>
                <w:lang w:bidi="ar"/>
              </w:rPr>
              <w:t>处理决定数量</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rPr>
              <w:t>43760</w:t>
            </w:r>
          </w:p>
        </w:tc>
      </w:tr>
      <w:tr>
        <w:tblPrEx>
          <w:tblCellMar>
            <w:top w:w="0" w:type="dxa"/>
            <w:left w:w="0" w:type="dxa"/>
            <w:bottom w:w="0" w:type="dxa"/>
            <w:right w:w="0" w:type="dxa"/>
          </w:tblCellMar>
        </w:tblPrEx>
        <w:trPr>
          <w:trHeight w:val="37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cs="宋体"/>
                <w:color w:val="000000"/>
                <w:kern w:val="0"/>
                <w:sz w:val="20"/>
                <w:szCs w:val="20"/>
                <w:lang w:bidi="ar"/>
              </w:rPr>
              <w:t>本年</w:t>
            </w:r>
            <w:r>
              <w:rPr>
                <w:rFonts w:hint="eastAsia" w:ascii="宋体" w:hAnsi="宋体" w:eastAsia="宋体" w:cs="宋体"/>
                <w:color w:val="000000"/>
                <w:kern w:val="0"/>
                <w:sz w:val="20"/>
                <w:szCs w:val="20"/>
                <w:lang w:bidi="ar"/>
              </w:rPr>
              <w:t>处理决定数量</w:t>
            </w:r>
          </w:p>
        </w:tc>
      </w:tr>
      <w:tr>
        <w:tblPrEx>
          <w:tblCellMar>
            <w:top w:w="0" w:type="dxa"/>
            <w:left w:w="0" w:type="dxa"/>
            <w:bottom w:w="0" w:type="dxa"/>
            <w:right w:w="0" w:type="dxa"/>
          </w:tblCellMar>
        </w:tblPrEx>
        <w:trPr>
          <w:trHeight w:val="47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rPr>
              <w:t>254875</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rPr>
              <w:t>12680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sz w:val="20"/>
                <w:szCs w:val="20"/>
                <w:shd w:val="clear" w:color="auto" w:fill="FFFFFF"/>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lang w:val="en-US" w:eastAsia="zh-CN"/>
              </w:rPr>
            </w:pPr>
            <w:r>
              <w:rPr>
                <w:rFonts w:hint="eastAsia"/>
                <w:lang w:val="en-US" w:eastAsia="zh-CN"/>
              </w:rPr>
              <w:t>11431</w:t>
            </w:r>
          </w:p>
        </w:tc>
      </w:tr>
    </w:tbl>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三、收到和处理政府信息公开申请情况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533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169</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172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97</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160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（六）其他处理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1.申请人无正当理由逾期不补正、行政机关不再处理其政府信息公开申请</w:t>
            </w:r>
          </w:p>
        </w:tc>
        <w:tc>
          <w:tcPr>
            <w:tcW w:w="813"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45</w:t>
            </w:r>
          </w:p>
        </w:tc>
        <w:tc>
          <w:tcPr>
            <w:tcW w:w="755"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p>
        </w:tc>
        <w:tc>
          <w:tcPr>
            <w:tcW w:w="854" w:type="dxa"/>
            <w:vMerge w:val="continue"/>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813"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755"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755"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813"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973"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711"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5"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p>
        </w:tc>
        <w:tc>
          <w:tcPr>
            <w:tcW w:w="854" w:type="dxa"/>
            <w:vMerge w:val="continue"/>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3.其他</w:t>
            </w:r>
          </w:p>
        </w:tc>
        <w:tc>
          <w:tcPr>
            <w:tcW w:w="813"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755"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755"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813"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973"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711"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5"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513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23</w:t>
            </w:r>
          </w:p>
        </w:tc>
      </w:tr>
    </w:tbl>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2</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2</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lang w:val="en-US" w:eastAsia="zh-CN"/>
              </w:rPr>
            </w:pPr>
            <w:r>
              <w:rPr>
                <w:rFonts w:hint="eastAsia"/>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3</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r>
    </w:tbl>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sz w:val="32"/>
          <w:szCs w:val="32"/>
          <w:lang w:val="en-US" w:eastAsia="zh-CN"/>
        </w:rPr>
      </w:pPr>
      <w:r>
        <w:rPr>
          <w:rFonts w:ascii="仿宋_GB2312" w:hAnsi="宋体" w:eastAsia="仿宋_GB2312" w:cs="仿宋_GB2312"/>
          <w:b/>
          <w:bCs/>
          <w:i w:val="0"/>
          <w:iCs w:val="0"/>
          <w:caps w:val="0"/>
          <w:color w:val="222222"/>
          <w:spacing w:val="0"/>
          <w:sz w:val="32"/>
          <w:szCs w:val="32"/>
          <w:shd w:val="clear" w:fill="FFFFFF"/>
        </w:rPr>
        <w:t>一是</w:t>
      </w:r>
      <w:r>
        <w:rPr>
          <w:rFonts w:ascii="仿宋_GB2312" w:hAnsi="宋体" w:eastAsia="仿宋_GB2312" w:cs="仿宋_GB2312"/>
          <w:i w:val="0"/>
          <w:iCs w:val="0"/>
          <w:caps w:val="0"/>
          <w:color w:val="222222"/>
          <w:spacing w:val="0"/>
          <w:sz w:val="32"/>
          <w:szCs w:val="32"/>
          <w:shd w:val="clear" w:fill="FFFFFF"/>
        </w:rPr>
        <w:t>信息公开</w:t>
      </w:r>
      <w:r>
        <w:rPr>
          <w:rFonts w:hint="eastAsia" w:ascii="仿宋_GB2312" w:hAnsi="宋体" w:eastAsia="仿宋_GB2312" w:cs="仿宋_GB2312"/>
          <w:i w:val="0"/>
          <w:iCs w:val="0"/>
          <w:caps w:val="0"/>
          <w:color w:val="222222"/>
          <w:spacing w:val="0"/>
          <w:sz w:val="32"/>
          <w:szCs w:val="32"/>
          <w:shd w:val="clear" w:fill="FFFFFF"/>
          <w:lang w:val="en-US" w:eastAsia="zh-CN"/>
        </w:rPr>
        <w:t>需进一步规范</w:t>
      </w:r>
      <w:r>
        <w:rPr>
          <w:rFonts w:ascii="仿宋_GB2312" w:hAnsi="宋体" w:eastAsia="仿宋_GB2312" w:cs="仿宋_GB2312"/>
          <w:i w:val="0"/>
          <w:iCs w:val="0"/>
          <w:caps w:val="0"/>
          <w:color w:val="222222"/>
          <w:spacing w:val="0"/>
          <w:sz w:val="32"/>
          <w:szCs w:val="32"/>
          <w:shd w:val="clear" w:fill="FFFFFF"/>
        </w:rPr>
        <w:t>；</w:t>
      </w:r>
      <w:r>
        <w:rPr>
          <w:rFonts w:ascii="仿宋_GB2312" w:hAnsi="宋体" w:eastAsia="仿宋_GB2312" w:cs="仿宋_GB2312"/>
          <w:b/>
          <w:bCs/>
          <w:i w:val="0"/>
          <w:iCs w:val="0"/>
          <w:caps w:val="0"/>
          <w:color w:val="222222"/>
          <w:spacing w:val="0"/>
          <w:sz w:val="32"/>
          <w:szCs w:val="32"/>
          <w:shd w:val="clear" w:fill="FFFFFF"/>
        </w:rPr>
        <w:t>二是</w:t>
      </w:r>
      <w:r>
        <w:rPr>
          <w:rFonts w:ascii="仿宋_GB2312" w:hAnsi="宋体" w:eastAsia="仿宋_GB2312" w:cs="仿宋_GB2312"/>
          <w:i w:val="0"/>
          <w:iCs w:val="0"/>
          <w:caps w:val="0"/>
          <w:color w:val="222222"/>
          <w:spacing w:val="0"/>
          <w:sz w:val="32"/>
          <w:szCs w:val="32"/>
          <w:shd w:val="clear" w:fill="FFFFFF"/>
        </w:rPr>
        <w:t>政务</w:t>
      </w:r>
      <w:r>
        <w:rPr>
          <w:rFonts w:hint="eastAsia" w:ascii="仿宋_GB2312" w:hAnsi="宋体" w:eastAsia="仿宋_GB2312" w:cs="仿宋_GB2312"/>
          <w:i w:val="0"/>
          <w:iCs w:val="0"/>
          <w:caps w:val="0"/>
          <w:color w:val="222222"/>
          <w:spacing w:val="0"/>
          <w:sz w:val="32"/>
          <w:szCs w:val="32"/>
          <w:shd w:val="clear" w:fill="FFFFFF"/>
          <w:lang w:val="en-US" w:eastAsia="zh-CN"/>
        </w:rPr>
        <w:t>新媒体监管有待加强</w:t>
      </w:r>
      <w:r>
        <w:rPr>
          <w:rFonts w:ascii="仿宋_GB2312" w:hAnsi="宋体" w:eastAsia="仿宋_GB2312" w:cs="仿宋_GB2312"/>
          <w:i w:val="0"/>
          <w:iCs w:val="0"/>
          <w:caps w:val="0"/>
          <w:color w:val="222222"/>
          <w:spacing w:val="0"/>
          <w:sz w:val="32"/>
          <w:szCs w:val="32"/>
          <w:shd w:val="clear" w:fill="FFFFFF"/>
        </w:rPr>
        <w:t>；</w:t>
      </w:r>
      <w:r>
        <w:rPr>
          <w:rFonts w:ascii="仿宋_GB2312" w:hAnsi="宋体" w:eastAsia="仿宋_GB2312" w:cs="仿宋_GB2312"/>
          <w:b/>
          <w:bCs/>
          <w:i w:val="0"/>
          <w:iCs w:val="0"/>
          <w:caps w:val="0"/>
          <w:color w:val="222222"/>
          <w:spacing w:val="0"/>
          <w:sz w:val="32"/>
          <w:szCs w:val="32"/>
          <w:shd w:val="clear" w:fill="FFFFFF"/>
        </w:rPr>
        <w:t>三是</w:t>
      </w:r>
      <w:r>
        <w:rPr>
          <w:rFonts w:hint="eastAsia" w:ascii="仿宋_GB2312" w:hAnsi="宋体" w:eastAsia="仿宋_GB2312" w:cs="仿宋_GB2312"/>
          <w:i w:val="0"/>
          <w:iCs w:val="0"/>
          <w:caps w:val="0"/>
          <w:color w:val="222222"/>
          <w:spacing w:val="0"/>
          <w:sz w:val="32"/>
          <w:szCs w:val="32"/>
          <w:shd w:val="clear" w:fill="FFFFFF"/>
          <w:lang w:val="en-US" w:eastAsia="zh-CN"/>
        </w:rPr>
        <w:t>依申请公开办理标准有待提高</w:t>
      </w:r>
      <w:r>
        <w:rPr>
          <w:rFonts w:ascii="仿宋_GB2312" w:hAnsi="宋体" w:eastAsia="仿宋_GB2312" w:cs="仿宋_GB2312"/>
          <w:i w:val="0"/>
          <w:iCs w:val="0"/>
          <w:caps w:val="0"/>
          <w:color w:val="222222"/>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一是大力推进政务公开标准化规范化建设。</w:t>
      </w:r>
      <w:r>
        <w:rPr>
          <w:rFonts w:hint="eastAsia" w:ascii="仿宋_GB2312" w:hAnsi="仿宋_GB2312" w:eastAsia="仿宋_GB2312" w:cs="仿宋_GB2312"/>
          <w:sz w:val="32"/>
          <w:szCs w:val="32"/>
          <w:lang w:val="en-US" w:eastAsia="zh-CN"/>
        </w:rPr>
        <w:t>由区府办政务公开科牵头各相关部门对照部委印发的基层政务公开标准目录，结合《浙江省政务公开工作“一本账》，进行再梳理再优化，深化栏目建设与标准目录融合工作，做到应公开尽公开，推动政务公开标准化规范化工作落实落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二是大力推进政务新媒体健康有序发展。</w:t>
      </w:r>
      <w:r>
        <w:rPr>
          <w:rFonts w:hint="eastAsia" w:ascii="仿宋_GB2312" w:hAnsi="仿宋_GB2312" w:eastAsia="仿宋_GB2312" w:cs="仿宋_GB2312"/>
          <w:sz w:val="32"/>
          <w:szCs w:val="32"/>
          <w:lang w:val="en-US" w:eastAsia="zh-CN"/>
        </w:rPr>
        <w:t>保留的政务新媒体账号运营主体严格落实“三审”制度，提高信息发布质量，积极发布需协同转发的信息稿件。紧盯省监管平台，聚焦宣传实效及各项运营指数，研究制定各账号运营方案，在提升政务宣传效能的同时，提升账号运营分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sz w:val="32"/>
          <w:szCs w:val="32"/>
        </w:rPr>
      </w:pPr>
      <w:r>
        <w:rPr>
          <w:rFonts w:hint="eastAsia" w:ascii="仿宋_GB2312" w:hAnsi="仿宋_GB2312" w:eastAsia="仿宋_GB2312" w:cs="仿宋_GB2312"/>
          <w:b/>
          <w:bCs/>
          <w:sz w:val="32"/>
          <w:szCs w:val="32"/>
          <w:lang w:val="en-US" w:eastAsia="zh-CN"/>
        </w:rPr>
        <w:t>三是大力推进依申请公开信息规范办理。</w:t>
      </w:r>
      <w:r>
        <w:rPr>
          <w:rFonts w:hint="eastAsia" w:ascii="仿宋_GB2312" w:hAnsi="仿宋_GB2312" w:eastAsia="仿宋_GB2312" w:cs="仿宋_GB2312"/>
          <w:sz w:val="32"/>
          <w:szCs w:val="32"/>
          <w:lang w:val="en-US" w:eastAsia="zh-CN"/>
        </w:rPr>
        <w:t>全面梳理历年政府信息公开答复纠正及败诉案件，分析具体原因。召集信息公开受理数量较大的单位，邀请专家组织答复办理研讨会，进一步规范和提升政府信息依申请公开工作水平。</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napToGrid w:val="0"/>
          <w:color w:val="000000"/>
          <w:szCs w:val="32"/>
        </w:rPr>
      </w:pPr>
      <w:r>
        <w:rPr>
          <w:rFonts w:hint="eastAsia" w:ascii="黑体" w:hAnsi="黑体" w:eastAsia="黑体" w:cs="黑体"/>
          <w:snapToGrid w:val="0"/>
          <w:color w:val="000000"/>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今年全区未发生需要收取政府信息公开处理费的办件，故未收取政府信息公开处理费。</w:t>
      </w:r>
    </w:p>
    <w:sectPr>
      <w:footerReference r:id="rId3" w:type="default"/>
      <w:pgSz w:w="11906" w:h="16838"/>
      <w:pgMar w:top="2098" w:right="1587"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347F1"/>
    <w:rsid w:val="030C4180"/>
    <w:rsid w:val="08883434"/>
    <w:rsid w:val="0B363BBB"/>
    <w:rsid w:val="113F05B1"/>
    <w:rsid w:val="13DE5F16"/>
    <w:rsid w:val="15A752ED"/>
    <w:rsid w:val="18640D35"/>
    <w:rsid w:val="1FCE514D"/>
    <w:rsid w:val="24501595"/>
    <w:rsid w:val="28627150"/>
    <w:rsid w:val="2B6B29D3"/>
    <w:rsid w:val="34526B43"/>
    <w:rsid w:val="43BC1AB5"/>
    <w:rsid w:val="480335FE"/>
    <w:rsid w:val="570B5ED0"/>
    <w:rsid w:val="610347F1"/>
    <w:rsid w:val="6B2C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99"/>
    <w:pPr>
      <w:ind w:firstLine="420" w:firstLineChars="200"/>
    </w:pPr>
  </w:style>
  <w:style w:type="paragraph" w:styleId="4">
    <w:name w:val="Body Text Indent"/>
    <w:basedOn w:val="1"/>
    <w:qFormat/>
    <w:uiPriority w:val="0"/>
    <w:pPr>
      <w:ind w:firstLine="630"/>
    </w:pPr>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2022-12-30T05:40:00Z</dcterms:created>
  <dc:creator>八岁打球会crossover</dc:creator>
  <cp:lastModifiedBy>mashimaro</cp:lastModifiedBy>
  <dcterms:modified xsi:type="dcterms:W3CDTF">2023-01-28T01:26:52Z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