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发包人：宁波市奉化区甬丰建设有限公司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承包人：浙江金娥生态建设有限公司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发包人与承包人于</w:t>
      </w:r>
      <w:r>
        <w:rPr>
          <w:rFonts w:hint="eastAsia"/>
          <w:lang w:val="en-US" w:eastAsia="zh-CN"/>
        </w:rPr>
        <w:t>2021年4月22日就奉化区殡葬建设项目一期工程签订建设工程施工合同（合同编号为GF—2017—0201）。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合同履行正常。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2022-07-15T08:57:21Z</dcterms:created>
  <dc:creator>Administrator</dc:creator>
  <cp:lastModifiedBy>0</cp:lastModifiedBy>
  <dcterms:modified xsi:type="dcterms:W3CDTF">2022-07-15T08:59:17Z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