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区财政局</w:t>
      </w:r>
      <w:r>
        <w:rPr>
          <w:rFonts w:hint="default" w:ascii="方正小标宋简体" w:hAnsi="方正小标宋简体" w:eastAsia="方正小标宋简体" w:cs="方正小标宋简体"/>
          <w:sz w:val="44"/>
          <w:szCs w:val="32"/>
          <w:lang w:eastAsia="zh-CN"/>
        </w:rPr>
        <w:t>政府信息公开</w:t>
      </w:r>
      <w:r>
        <w:rPr>
          <w:rFonts w:hint="eastAsia" w:ascii="方正小标宋简体" w:hAnsi="方正小标宋简体" w:eastAsia="方正小标宋简体" w:cs="方正小标宋简体"/>
          <w:sz w:val="44"/>
          <w:szCs w:val="32"/>
          <w:lang w:val="en-US" w:eastAsia="zh-CN"/>
        </w:rPr>
        <w:t>2021年度</w:t>
      </w:r>
      <w:r>
        <w:rPr>
          <w:rFonts w:hint="default" w:ascii="方正小标宋简体" w:hAnsi="方正小标宋简体" w:eastAsia="方正小标宋简体" w:cs="方正小标宋简体"/>
          <w:sz w:val="44"/>
          <w:szCs w:val="32"/>
          <w:lang w:eastAsia="zh-CN"/>
        </w:rPr>
        <w:t>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黑体" w:hAnsi="黑体" w:eastAsia="黑体" w:cs="黑体"/>
          <w:sz w:val="32"/>
          <w:szCs w:val="32"/>
          <w:lang w:bidi="ar-SA"/>
        </w:rPr>
      </w:pPr>
      <w:r>
        <w:rPr>
          <w:rFonts w:hint="eastAsia" w:ascii="黑体" w:hAnsi="黑体" w:eastAsia="黑体" w:cs="黑体"/>
          <w:sz w:val="32"/>
          <w:szCs w:val="32"/>
          <w:lang w:bidi="ar-SA"/>
        </w:rPr>
        <w:t>一、总体情况</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主动公开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年，我局及时发布财政法规政策、业务工作和办事指南等政务信息，截至</w:t>
      </w:r>
      <w:r>
        <w:rPr>
          <w:rFonts w:hint="eastAsia" w:ascii="仿宋_GB2312" w:hAnsi="仿宋_GB2312" w:eastAsia="仿宋_GB2312" w:cs="仿宋_GB2312"/>
          <w:sz w:val="32"/>
          <w:szCs w:val="32"/>
          <w:lang w:val="en-US" w:eastAsia="zh-CN"/>
        </w:rPr>
        <w:t>12月31日，</w:t>
      </w:r>
      <w:r>
        <w:rPr>
          <w:rFonts w:hint="eastAsia" w:ascii="仿宋_GB2312" w:hAnsi="仿宋_GB2312" w:eastAsia="仿宋_GB2312" w:cs="仿宋_GB2312"/>
          <w:sz w:val="32"/>
          <w:szCs w:val="32"/>
          <w:lang w:eastAsia="zh-CN"/>
        </w:rPr>
        <w:t>共公开发布各类信息</w:t>
      </w:r>
      <w:r>
        <w:rPr>
          <w:rFonts w:hint="eastAsia" w:ascii="仿宋_GB2312" w:hAnsi="仿宋_GB2312" w:eastAsia="仿宋_GB2312" w:cs="仿宋_GB2312"/>
          <w:color w:val="auto"/>
          <w:sz w:val="32"/>
          <w:szCs w:val="32"/>
          <w:lang w:val="en-US" w:eastAsia="zh-CN"/>
        </w:rPr>
        <w:t>109</w:t>
      </w:r>
      <w:r>
        <w:rPr>
          <w:rFonts w:hint="eastAsia" w:ascii="仿宋_GB2312" w:hAnsi="仿宋_GB2312" w:eastAsia="仿宋_GB2312" w:cs="仿宋_GB2312"/>
          <w:sz w:val="32"/>
          <w:szCs w:val="32"/>
          <w:lang w:val="en-US" w:eastAsia="zh-CN"/>
        </w:rPr>
        <w:t>条，其中</w:t>
      </w:r>
      <w:r>
        <w:rPr>
          <w:rFonts w:hint="eastAsia" w:ascii="仿宋_GB2312" w:hAnsi="仿宋_GB2312" w:eastAsia="仿宋_GB2312" w:cs="仿宋_GB2312"/>
          <w:sz w:val="32"/>
          <w:szCs w:val="32"/>
          <w:lang w:eastAsia="zh-CN"/>
        </w:rPr>
        <w:t>主动公开通知公告</w:t>
      </w:r>
      <w:r>
        <w:rPr>
          <w:rFonts w:hint="eastAsia" w:ascii="仿宋_GB2312" w:hAnsi="仿宋_GB2312" w:eastAsia="仿宋_GB2312" w:cs="仿宋_GB2312"/>
          <w:sz w:val="32"/>
          <w:szCs w:val="32"/>
          <w:lang w:val="en-US" w:eastAsia="zh-CN"/>
        </w:rPr>
        <w:t>6条、公开政务动态</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sz w:val="32"/>
          <w:szCs w:val="32"/>
          <w:lang w:val="en-US" w:eastAsia="zh-CN"/>
        </w:rPr>
        <w:t>条。有效保障了公众的知情权、参与权以及监督权，进一步推动财政工作提速提质提效。</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依申请公开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根据中央、省、市政府等各项规定，规范答复文书格式、内容等，保障公民、法人和其他组织依法获取政府信息，保障社会公众知情权，提高政府工作透明度。</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年共收到依申请公开</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件，且</w:t>
      </w:r>
      <w:r>
        <w:rPr>
          <w:rFonts w:hint="eastAsia" w:ascii="仿宋_GB2312" w:hAnsi="仿宋_GB2312" w:eastAsia="仿宋_GB2312" w:cs="仿宋_GB2312"/>
          <w:color w:val="auto"/>
          <w:sz w:val="32"/>
          <w:szCs w:val="32"/>
          <w:lang w:val="en-US" w:eastAsia="zh-CN"/>
        </w:rPr>
        <w:t>在规定期限内答复，并与申请人做好电话解释沟通，确保群众满意。</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政府信息管理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我局结合新形势新要求，严格落实区政务信息公开工作要点，加强组织领导，完善工作机制，不断拓宽政府信息公开的广度和深度，规范政府信息公开全过程、各环节，确保政府信息公开工作健康运行。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bidi="ar-SA"/>
        </w:rPr>
        <w:t>1.进一步推进政府预决算信息公开。</w:t>
      </w:r>
      <w:r>
        <w:rPr>
          <w:rFonts w:hint="eastAsia" w:ascii="仿宋_GB2312" w:hAnsi="仿宋_GB2312" w:eastAsia="仿宋_GB2312" w:cs="仿宋_GB2312"/>
          <w:sz w:val="32"/>
          <w:szCs w:val="32"/>
          <w:lang w:eastAsia="zh-CN"/>
        </w:rPr>
        <w:t>制定年度预决算信息公开工作安排推进表，细化时间节点，严格落实预决算公开责任，明确各部门是部门预算公开的责任主体，负责本部门预算公开</w:t>
      </w:r>
      <w:r>
        <w:rPr>
          <w:rFonts w:hint="eastAsia" w:ascii="仿宋_GB2312" w:hAnsi="仿宋_GB2312" w:eastAsia="仿宋_GB2312" w:cs="仿宋_GB2312"/>
          <w:color w:val="000000"/>
          <w:sz w:val="32"/>
          <w:szCs w:val="32"/>
          <w:lang w:eastAsia="zh-CN"/>
        </w:rPr>
        <w:t>，区财政局负责政府预决算公开。根据相关文件对预决算的公开要求，统一公开口径和公开网址，</w:t>
      </w:r>
      <w:r>
        <w:rPr>
          <w:rFonts w:hint="eastAsia" w:ascii="仿宋_GB2312" w:hAnsi="仿宋_GB2312" w:eastAsia="仿宋_GB2312" w:cs="仿宋_GB2312"/>
          <w:sz w:val="32"/>
          <w:szCs w:val="32"/>
          <w:lang w:eastAsia="zh-CN"/>
        </w:rPr>
        <w:t>切实加强对部门预决算公开的工作指导。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color w:val="auto"/>
          <w:sz w:val="32"/>
          <w:szCs w:val="32"/>
          <w:lang w:val="en-US" w:eastAsia="zh-CN"/>
        </w:rPr>
        <w:t>2.及时公开重要政策工作进展和情况总结。</w:t>
      </w:r>
      <w:r>
        <w:rPr>
          <w:rFonts w:hint="eastAsia" w:ascii="仿宋_GB2312" w:hAnsi="仿宋_GB2312" w:eastAsia="仿宋_GB2312" w:cs="仿宋_GB2312"/>
          <w:b w:val="0"/>
          <w:bCs w:val="0"/>
          <w:color w:val="auto"/>
          <w:sz w:val="32"/>
          <w:szCs w:val="32"/>
          <w:lang w:val="en-US" w:eastAsia="zh-CN"/>
        </w:rPr>
        <w:t>2021年，直达资金形成常态化机制，区财政局积极部署推进部门联动，实现直达资金监控平台、财政管理信息系统高效联通和指标分配、预算下达、预算支出、数据上传、信息公开全闭环管理。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3.定期公开地方政府债务相关信息。</w:t>
      </w:r>
      <w:r>
        <w:rPr>
          <w:rFonts w:hint="eastAsia" w:ascii="仿宋_GB2312" w:hAnsi="仿宋_GB2312" w:eastAsia="仿宋_GB2312" w:cs="仿宋_GB2312"/>
          <w:sz w:val="32"/>
          <w:szCs w:val="32"/>
          <w:lang w:val="en-US" w:eastAsia="zh-CN" w:bidi="ar-SA"/>
        </w:rPr>
        <w:t>根据上级要求，通过</w:t>
      </w:r>
      <w:r>
        <w:rPr>
          <w:rFonts w:hint="eastAsia" w:ascii="仿宋_GB2312" w:hAnsi="仿宋_GB2312" w:eastAsia="仿宋_GB2312" w:cs="仿宋_GB2312"/>
          <w:sz w:val="32"/>
          <w:szCs w:val="32"/>
          <w:lang w:val="en-US" w:eastAsia="zh-CN"/>
        </w:rPr>
        <w:t>区政府政务公开网站，每月公开地方政府债务限额、余额、发行、品种、期限、利率、偿还计划、偿债资金来源等信息，截至12月31日，共公开</w:t>
      </w:r>
      <w:r>
        <w:rPr>
          <w:rFonts w:hint="eastAsia" w:ascii="仿宋_GB2312" w:hAnsi="仿宋_GB2312" w:eastAsia="仿宋_GB2312" w:cs="仿宋_GB2312"/>
          <w:color w:val="000000"/>
          <w:sz w:val="32"/>
          <w:szCs w:val="32"/>
          <w:lang w:val="en-US" w:eastAsia="zh-CN"/>
        </w:rPr>
        <w:t>债务相关信息8条。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sz w:val="32"/>
          <w:szCs w:val="32"/>
          <w:lang w:val="en-US" w:eastAsia="zh-CN" w:bidi="ar-SA"/>
        </w:rPr>
        <w:t>4.全链条公开政府采购相关信息。</w:t>
      </w:r>
      <w:r>
        <w:rPr>
          <w:rFonts w:hint="eastAsia" w:ascii="仿宋_GB2312" w:hAnsi="仿宋_GB2312" w:eastAsia="仿宋_GB2312" w:cs="仿宋_GB2312"/>
          <w:kern w:val="0"/>
          <w:sz w:val="32"/>
          <w:szCs w:val="32"/>
          <w:lang w:eastAsia="zh-CN"/>
        </w:rPr>
        <w:t>所有项目采购招标文件、采购结果、投诉处理等信息均在省政府采购网、宁波政府采购网、区政府</w:t>
      </w:r>
      <w:r>
        <w:rPr>
          <w:rFonts w:hint="eastAsia" w:ascii="仿宋_GB2312" w:hAnsi="仿宋_GB2312" w:eastAsia="仿宋_GB2312" w:cs="仿宋_GB2312"/>
          <w:sz w:val="32"/>
          <w:szCs w:val="32"/>
          <w:lang w:val="en-US" w:eastAsia="zh-CN"/>
        </w:rPr>
        <w:t>政务公开网站</w:t>
      </w:r>
      <w:r>
        <w:rPr>
          <w:rFonts w:hint="eastAsia" w:ascii="仿宋_GB2312" w:hAnsi="仿宋_GB2312" w:eastAsia="仿宋_GB2312" w:cs="仿宋_GB2312"/>
          <w:kern w:val="0"/>
          <w:sz w:val="32"/>
          <w:szCs w:val="32"/>
          <w:lang w:eastAsia="zh-CN"/>
        </w:rPr>
        <w:t>等多个平台公开。截至</w:t>
      </w:r>
      <w:r>
        <w:rPr>
          <w:rFonts w:hint="eastAsia" w:ascii="仿宋_GB2312" w:hAnsi="仿宋_GB2312" w:eastAsia="仿宋_GB2312" w:cs="仿宋_GB2312"/>
          <w:kern w:val="0"/>
          <w:sz w:val="32"/>
          <w:szCs w:val="32"/>
          <w:lang w:val="en-US" w:eastAsia="zh-CN"/>
        </w:rPr>
        <w:t>12月31日，共公开政府采购相关信息536条，公开率</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kern w:val="0"/>
          <w:sz w:val="32"/>
          <w:szCs w:val="32"/>
          <w:lang w:val="en-US" w:eastAsia="zh-CN"/>
        </w:rPr>
        <w:t>发布采购政策2个。</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5.推进惠民惠农信息公开。</w:t>
      </w:r>
      <w:r>
        <w:rPr>
          <w:rFonts w:hint="eastAsia" w:ascii="仿宋_GB2312" w:hAnsi="仿宋_GB2312" w:eastAsia="仿宋_GB2312" w:cs="仿宋_GB2312"/>
          <w:b w:val="0"/>
          <w:bCs w:val="0"/>
          <w:color w:val="auto"/>
          <w:sz w:val="32"/>
          <w:szCs w:val="32"/>
          <w:lang w:val="en-US" w:eastAsia="zh-CN" w:bidi="ar-SA"/>
        </w:rPr>
        <w:t>开设“惠民惠农政策和资金发放”子栏目，梳理汇总并集中公开惠民惠农政策25条，对接各相关部门主动公开各项政策补助公告表及补助发放情况，有效提升补贴发放透明度。</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政府信息公开平台建设</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奉化区政府政务公开网站（fh.gov.cn/col/col1229165274/index.html?key=gkzn）是我局信息公开的主要网络平台。</w:t>
      </w:r>
      <w:r>
        <w:rPr>
          <w:rFonts w:hint="eastAsia" w:ascii="仿宋_GB2312" w:hAnsi="仿宋_GB2312" w:eastAsia="仿宋_GB2312" w:cs="仿宋_GB2312"/>
          <w:sz w:val="32"/>
          <w:szCs w:val="32"/>
          <w:lang w:eastAsia="zh-CN"/>
        </w:rPr>
        <w:t>我局高度重视信息公开工作，不断强化热线、网络等平台建设，满足群众服务需求，始终把政务信息公开工作作为全局的一项重要工作来抓。</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监督保障</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我局高度重视监督考核工作，明确由办公室牵头负责公开内容的管理协调和信息发布的督导检查工作。各科室按具体责任分工，负责相关栏目的公开，确保网站内容更新及时。</w:t>
      </w:r>
    </w:p>
    <w:p>
      <w:pPr>
        <w:spacing w:line="600" w:lineRule="exact"/>
        <w:rPr>
          <w:rFonts w:hint="eastAsia" w:ascii="黑体" w:hAnsi="黑体" w:eastAsia="黑体" w:cs="仿宋"/>
          <w:sz w:val="32"/>
          <w:szCs w:val="32"/>
          <w:lang w:bidi="ar-SA"/>
        </w:rPr>
      </w:pPr>
      <w:r>
        <w:rPr>
          <w:rFonts w:hint="eastAsia" w:ascii="黑体" w:hAnsi="黑体" w:eastAsia="黑体" w:cs="仿宋"/>
          <w:sz w:val="32"/>
          <w:szCs w:val="32"/>
          <w:lang w:bidi="ar-SA"/>
        </w:rPr>
        <w:t>二、主动公开政府信息情况</w:t>
      </w:r>
    </w:p>
    <w:tbl>
      <w:tblPr>
        <w:tblStyle w:val="4"/>
        <w:tblW w:w="8140" w:type="dxa"/>
        <w:jc w:val="center"/>
        <w:tblInd w:w="0" w:type="dxa"/>
        <w:tblLayout w:type="fixed"/>
        <w:tblCellMar>
          <w:top w:w="0" w:type="dxa"/>
          <w:left w:w="0" w:type="dxa"/>
          <w:bottom w:w="0" w:type="dxa"/>
          <w:right w:w="0" w:type="dxa"/>
        </w:tblCellMar>
      </w:tblPr>
      <w:tblGrid>
        <w:gridCol w:w="3113"/>
        <w:gridCol w:w="1730"/>
        <w:gridCol w:w="1416"/>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制发件数</w:t>
            </w:r>
          </w:p>
        </w:tc>
        <w:tc>
          <w:tcPr>
            <w:tcW w:w="141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lang w:eastAsia="zh-CN"/>
              </w:rPr>
              <w:t>现行有效件数</w:t>
            </w:r>
          </w:p>
        </w:tc>
      </w:tr>
      <w:tr>
        <w:tblPrEx>
          <w:tblLayout w:type="fixed"/>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cs="宋体"/>
                <w:color w:val="000000"/>
                <w:kern w:val="0"/>
                <w:sz w:val="20"/>
                <w:szCs w:val="20"/>
                <w:lang w:val="en-US" w:eastAsia="zh-CN" w:bidi="ar"/>
              </w:rPr>
              <w:t>行政</w:t>
            </w:r>
            <w:r>
              <w:rPr>
                <w:rFonts w:hint="eastAsia" w:ascii="宋体" w:hAnsi="宋体" w:eastAsia="宋体" w:cs="宋体"/>
                <w:color w:val="000000"/>
                <w:kern w:val="0"/>
                <w:sz w:val="20"/>
                <w:szCs w:val="20"/>
                <w:lang w:val="en-US" w:eastAsia="zh-CN"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7</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000000"/>
                <w:spacing w:val="0"/>
                <w:sz w:val="20"/>
                <w:szCs w:val="20"/>
                <w:shd w:val="clear" w:color="auto" w:fill="FFFFFF"/>
              </w:rPr>
              <w:t>本年收费金额（单位：万元）</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bl>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vMerge w:val="continue"/>
            <w:noWrap w:val="0"/>
            <w:tcMar>
              <w:left w:w="108" w:type="dxa"/>
              <w:right w:w="108" w:type="dxa"/>
            </w:tcMar>
            <w:vAlign w:val="center"/>
          </w:tcPr>
          <w:p>
            <w:pPr>
              <w:rPr>
                <w:rFonts w:hint="eastAsia" w:ascii="宋体" w:hAnsi="宋体" w:eastAsia="宋体" w:cs="宋体"/>
                <w:sz w:val="20"/>
                <w:szCs w:val="20"/>
              </w:rPr>
            </w:pPr>
          </w:p>
        </w:tc>
        <w:tc>
          <w:tcPr>
            <w:tcW w:w="813"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4007" w:type="dxa"/>
            <w:gridSpan w:val="5"/>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695"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vMerge w:val="continue"/>
            <w:noWrap w:val="0"/>
            <w:tcMar>
              <w:left w:w="108" w:type="dxa"/>
              <w:right w:w="108" w:type="dxa"/>
            </w:tcMar>
            <w:vAlign w:val="center"/>
          </w:tcPr>
          <w:p>
            <w:pPr>
              <w:rPr>
                <w:rFonts w:hint="eastAsia" w:ascii="宋体" w:hAnsi="宋体" w:eastAsia="宋体" w:cs="宋体"/>
                <w:sz w:val="20"/>
                <w:szCs w:val="20"/>
              </w:rPr>
            </w:pPr>
          </w:p>
        </w:tc>
        <w:tc>
          <w:tcPr>
            <w:tcW w:w="813" w:type="dxa"/>
            <w:vMerge w:val="continue"/>
            <w:noWrap w:val="0"/>
            <w:tcMar>
              <w:left w:w="108" w:type="dxa"/>
              <w:right w:w="108" w:type="dxa"/>
            </w:tcMar>
            <w:vAlign w:val="center"/>
          </w:tcPr>
          <w:p>
            <w:pPr>
              <w:rPr>
                <w:rFonts w:hint="eastAsia" w:ascii="宋体" w:hAnsi="宋体" w:eastAsia="宋体" w:cs="宋体"/>
                <w:sz w:val="20"/>
                <w:szCs w:val="20"/>
              </w:rPr>
            </w:pP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695" w:type="dxa"/>
            <w:vMerge w:val="continue"/>
            <w:noWrap w:val="0"/>
            <w:tcMar>
              <w:left w:w="108" w:type="dxa"/>
              <w:right w:w="108" w:type="dxa"/>
            </w:tcMar>
            <w:vAlign w:val="center"/>
          </w:tcPr>
          <w:p>
            <w:pP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1</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2940" w:type="dxa"/>
            <w:gridSpan w:val="2"/>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2940" w:type="dxa"/>
            <w:gridSpan w:val="2"/>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continue"/>
            <w:noWrap w:val="0"/>
            <w:tcMar>
              <w:left w:w="108" w:type="dxa"/>
              <w:right w:w="108" w:type="dxa"/>
            </w:tcMar>
            <w:vAlign w:val="center"/>
          </w:tcPr>
          <w:p>
            <w:pPr>
              <w:rPr>
                <w:rFonts w:hint="eastAsia" w:ascii="宋体" w:hAnsi="宋体" w:eastAsia="宋体" w:cs="宋体"/>
                <w:sz w:val="20"/>
                <w:szCs w:val="20"/>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 w:hRule="atLeast"/>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854" w:type="dxa"/>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 w:hRule="atLeast"/>
          <w:jc w:val="center"/>
        </w:trPr>
        <w:tc>
          <w:tcPr>
            <w:tcW w:w="616" w:type="dxa"/>
            <w:vMerge w:val="continu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854" w:type="dxa"/>
            <w:vMerge w:val="continu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 w:hRule="atLeast"/>
          <w:jc w:val="center"/>
        </w:trPr>
        <w:tc>
          <w:tcPr>
            <w:tcW w:w="616" w:type="dxa"/>
            <w:vMerge w:val="continu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854" w:type="dxa"/>
            <w:vMerge w:val="continu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208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6" w:type="dxa"/>
            <w:vMerge w:val="continue"/>
            <w:noWrap w:val="0"/>
            <w:tcMar>
              <w:left w:w="108" w:type="dxa"/>
              <w:right w:w="108" w:type="dxa"/>
            </w:tcMar>
            <w:vAlign w:val="center"/>
          </w:tcPr>
          <w:p>
            <w:pPr>
              <w:rPr>
                <w:rFonts w:hint="eastAsia" w:ascii="宋体" w:hAnsi="宋体" w:eastAsia="宋体" w:cs="宋体"/>
                <w:sz w:val="20"/>
                <w:szCs w:val="20"/>
              </w:rPr>
            </w:pPr>
          </w:p>
        </w:tc>
        <w:tc>
          <w:tcPr>
            <w:tcW w:w="2940" w:type="dxa"/>
            <w:gridSpan w:val="2"/>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1</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69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556" w:type="dxa"/>
            <w:gridSpan w:val="3"/>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1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7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1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695" w:type="dxa"/>
            <w:noWrap w:val="0"/>
            <w:tcMar>
              <w:left w:w="108" w:type="dxa"/>
              <w:right w:w="108" w:type="dxa"/>
            </w:tcMar>
            <w:vAlign w:val="top"/>
          </w:tcPr>
          <w:p>
            <w:pPr>
              <w:jc w:val="center"/>
              <w:rPr>
                <w:rFonts w:hint="eastAsia" w:ascii="宋体" w:hAnsi="宋体" w:eastAsia="宋体" w:cs="宋体"/>
                <w:sz w:val="20"/>
                <w:szCs w:val="20"/>
              </w:rPr>
            </w:pPr>
            <w:r>
              <w:rPr>
                <w:rFonts w:hint="eastAsia" w:ascii="宋体" w:hAnsi="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宋体" w:hAnsi="宋体" w:eastAsia="宋体" w:cs="宋体"/>
          <w:i w:val="0"/>
          <w:caps w:val="0"/>
          <w:color w:val="333333"/>
          <w:spacing w:val="0"/>
          <w:sz w:val="24"/>
          <w:szCs w:val="24"/>
        </w:rPr>
      </w:pPr>
      <w:r>
        <w:rPr>
          <w:rFonts w:hint="eastAsia" w:ascii="黑体" w:hAnsi="黑体" w:eastAsia="黑体" w:cs="仿宋"/>
          <w:sz w:val="32"/>
          <w:szCs w:val="32"/>
          <w:lang w:eastAsia="zh-CN" w:bidi="ar-SA"/>
        </w:rPr>
        <w:t>四、</w:t>
      </w:r>
      <w:r>
        <w:rPr>
          <w:rFonts w:hint="eastAsia" w:ascii="黑体" w:hAnsi="黑体" w:eastAsia="黑体" w:cs="仿宋"/>
          <w:sz w:val="32"/>
          <w:szCs w:val="32"/>
          <w:lang w:bidi="ar-SA"/>
        </w:rPr>
        <w:t>政府信息公开行政复议、行政诉讼情况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5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55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0</w:t>
            </w:r>
          </w:p>
        </w:tc>
        <w:tc>
          <w:tcPr>
            <w:tcW w:w="606"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06" w:type="dxa"/>
            <w:tcBorders>
              <w:top w:val="nil"/>
              <w:left w:val="nil"/>
              <w:bottom w:val="single" w:color="auto" w:sz="8" w:space="0"/>
              <w:right w:val="single" w:color="auto" w:sz="8" w:space="0"/>
            </w:tcBorders>
            <w:noWrap w:val="0"/>
            <w:tcMar>
              <w:left w:w="108" w:type="dxa"/>
              <w:right w:w="108" w:type="dxa"/>
            </w:tcMar>
            <w:vAlign w:val="top"/>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黑体" w:hAnsi="黑体" w:eastAsia="黑体" w:cs="黑体"/>
          <w:sz w:val="32"/>
          <w:szCs w:val="32"/>
          <w:lang w:bidi="ar-SA"/>
        </w:rPr>
      </w:pPr>
      <w:r>
        <w:rPr>
          <w:rFonts w:hint="eastAsia" w:ascii="黑体" w:hAnsi="黑体" w:eastAsia="黑体" w:cs="黑体"/>
          <w:sz w:val="32"/>
          <w:szCs w:val="32"/>
          <w:lang w:bidi="ar-SA"/>
        </w:rPr>
        <w:t>五、存在的主要问题及改进情况</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202</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年，我局政府信息公开工作虽然取得了一定成效，但还存在一些问题和不足，如政策解读样式还需进一步丰富。202</w:t>
      </w: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年，我局将进一步加大财政政策的解读力度，用更加通俗易懂、生动活泼的语言解读政策，</w:t>
      </w:r>
      <w:r>
        <w:rPr>
          <w:rFonts w:hint="eastAsia" w:ascii="仿宋_GB2312" w:hAnsi="仿宋_GB2312" w:eastAsia="仿宋_GB2312" w:cs="仿宋_GB2312"/>
          <w:i w:val="0"/>
          <w:caps w:val="0"/>
          <w:color w:val="auto"/>
          <w:spacing w:val="0"/>
          <w:sz w:val="32"/>
          <w:szCs w:val="32"/>
          <w:shd w:val="clear" w:fill="FFFFFF"/>
          <w:lang w:eastAsia="zh-CN"/>
        </w:rPr>
        <w:t>让群众</w:t>
      </w:r>
      <w:r>
        <w:rPr>
          <w:rFonts w:hint="eastAsia" w:ascii="仿宋_GB2312" w:hAnsi="仿宋_GB2312" w:eastAsia="仿宋_GB2312" w:cs="仿宋_GB2312"/>
          <w:i w:val="0"/>
          <w:caps w:val="0"/>
          <w:color w:val="auto"/>
          <w:spacing w:val="0"/>
          <w:sz w:val="32"/>
          <w:szCs w:val="32"/>
          <w:shd w:val="clear" w:fill="FFFFFF"/>
        </w:rPr>
        <w:t>听得懂、记得住、信得过、用得上。</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黑体" w:hAnsi="黑体" w:eastAsia="黑体" w:cs="黑体"/>
          <w:sz w:val="32"/>
          <w:szCs w:val="32"/>
          <w:lang w:bidi="ar-SA"/>
        </w:rPr>
      </w:pPr>
      <w:r>
        <w:rPr>
          <w:rFonts w:hint="eastAsia" w:ascii="黑体" w:hAnsi="黑体" w:eastAsia="黑体" w:cs="黑体"/>
          <w:sz w:val="32"/>
          <w:szCs w:val="32"/>
          <w:lang w:bidi="ar-SA"/>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本年度未收取依申请公开信息处理费。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FEB33"/>
    <w:multiLevelType w:val="singleLevel"/>
    <w:tmpl w:val="D9EFEB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32E3A"/>
    <w:rsid w:val="0C271172"/>
    <w:rsid w:val="0C7C13D1"/>
    <w:rsid w:val="126F0A96"/>
    <w:rsid w:val="13DB7919"/>
    <w:rsid w:val="16345FEC"/>
    <w:rsid w:val="18E12947"/>
    <w:rsid w:val="278D3F95"/>
    <w:rsid w:val="30432E3A"/>
    <w:rsid w:val="3D8D5781"/>
    <w:rsid w:val="42342DB2"/>
    <w:rsid w:val="467C67A5"/>
    <w:rsid w:val="4D6F2955"/>
    <w:rsid w:val="4D71CBBA"/>
    <w:rsid w:val="52A3744F"/>
    <w:rsid w:val="57705781"/>
    <w:rsid w:val="65741472"/>
    <w:rsid w:val="68E050DD"/>
    <w:rsid w:val="70A459CF"/>
    <w:rsid w:val="71603E68"/>
    <w:rsid w:val="76F0402A"/>
    <w:rsid w:val="7A751AA8"/>
    <w:rsid w:val="7B865C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423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2021-11-29T09:01:00Z</dcterms:created>
  <dc:creator>Administrator</dc:creator>
  <cp:lastModifiedBy>lenovo</cp:lastModifiedBy>
  <cp:lastPrinted>2021-11-30T16:21:00Z</cp:lastPrinted>
  <dcterms:modified xsi:type="dcterms:W3CDTF">2023-06-07T08:57:35Z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woTemplateTypoMode" linkTarget="0">
    <vt:lpwstr>web</vt:lpwstr>
  </property>
  <property fmtid="{D5CDD505-2E9C-101B-9397-08002B2CF9AE}" pid="4" name="woTemplate" linkTarget="0">
    <vt:i4>1</vt:i4>
  </property>
</Properties>
</file>