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仿宋简体" w:cs="方正仿宋简体"/>
          <w:sz w:val="36"/>
          <w:szCs w:val="36"/>
        </w:rPr>
      </w:pPr>
    </w:p>
    <w:p>
      <w:pPr>
        <w:spacing w:line="580" w:lineRule="exact"/>
        <w:jc w:val="center"/>
        <w:rPr>
          <w:rFonts w:eastAsia="方正仿宋简体" w:cs="方正仿宋简体"/>
          <w:sz w:val="36"/>
          <w:szCs w:val="36"/>
        </w:rPr>
      </w:pPr>
    </w:p>
    <w:p>
      <w:pPr>
        <w:spacing w:line="580" w:lineRule="exact"/>
        <w:jc w:val="center"/>
        <w:rPr>
          <w:rFonts w:eastAsia="方正仿宋简体" w:cs="方正仿宋简体"/>
          <w:sz w:val="36"/>
          <w:szCs w:val="36"/>
        </w:rPr>
      </w:pPr>
    </w:p>
    <w:p>
      <w:pPr>
        <w:spacing w:line="580" w:lineRule="exact"/>
        <w:jc w:val="center"/>
        <w:rPr>
          <w:rFonts w:eastAsia="方正仿宋简体" w:cs="方正仿宋简体"/>
          <w:sz w:val="44"/>
          <w:szCs w:val="44"/>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《宁波市奉化区国民经济和社会发展</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第十四个五年规划和</w:t>
      </w:r>
      <w:r>
        <w:rPr>
          <w:rFonts w:hint="eastAsia" w:ascii="方正小标宋简体" w:hAnsi="方正小标宋简体" w:eastAsia="方正小标宋简体" w:cs="方正小标宋简体"/>
          <w:sz w:val="44"/>
          <w:szCs w:val="44"/>
          <w:lang w:eastAsia="zh-CN"/>
        </w:rPr>
        <w:t>二〇</w:t>
      </w:r>
      <w:r>
        <w:rPr>
          <w:rFonts w:hint="eastAsia" w:ascii="方正小标宋简体" w:hAnsi="方正小标宋简体" w:eastAsia="方正小标宋简体" w:cs="方正小标宋简体"/>
          <w:sz w:val="44"/>
          <w:szCs w:val="44"/>
        </w:rPr>
        <w:t>三五年远景目标</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纲要》实施情况中期评估报告</w:t>
      </w:r>
    </w:p>
    <w:p>
      <w:pPr>
        <w:spacing w:line="580" w:lineRule="exact"/>
        <w:jc w:val="center"/>
        <w:rPr>
          <w:rFonts w:ascii="楷体_GB2312" w:hAnsi="楷体_GB2312" w:eastAsia="楷体_GB2312" w:cs="楷体_GB2312"/>
          <w:sz w:val="36"/>
          <w:szCs w:val="36"/>
        </w:rPr>
      </w:pPr>
    </w:p>
    <w:p>
      <w:pPr>
        <w:rPr>
          <w:rFonts w:eastAsia="方正仿宋简体" w:cs="方正仿宋简体"/>
          <w:sz w:val="36"/>
          <w:szCs w:val="36"/>
        </w:rPr>
      </w:pPr>
    </w:p>
    <w:p>
      <w:pPr>
        <w:jc w:val="center"/>
        <w:rPr>
          <w:rFonts w:eastAsia="方正仿宋简体" w:cs="方正仿宋简体"/>
          <w:sz w:val="32"/>
          <w:szCs w:val="40"/>
        </w:rPr>
      </w:pPr>
    </w:p>
    <w:p>
      <w:pPr>
        <w:pStyle w:val="34"/>
        <w:ind w:firstLine="640"/>
        <w:rPr>
          <w:rFonts w:ascii="Times New Roman" w:hAnsi="Times New Roman" w:eastAsia="方正仿宋简体" w:cs="方正仿宋简体"/>
          <w:sz w:val="32"/>
          <w:szCs w:val="40"/>
        </w:rPr>
      </w:pPr>
    </w:p>
    <w:p>
      <w:pPr>
        <w:pStyle w:val="34"/>
        <w:ind w:firstLine="640"/>
        <w:rPr>
          <w:rFonts w:ascii="Times New Roman" w:hAnsi="Times New Roman" w:eastAsia="方正仿宋简体" w:cs="方正仿宋简体"/>
          <w:sz w:val="32"/>
          <w:szCs w:val="40"/>
        </w:rPr>
      </w:pPr>
    </w:p>
    <w:p>
      <w:pPr>
        <w:pStyle w:val="34"/>
        <w:ind w:firstLine="640"/>
        <w:rPr>
          <w:rFonts w:ascii="Times New Roman" w:hAnsi="Times New Roman" w:eastAsia="方正仿宋简体" w:cs="方正仿宋简体"/>
          <w:sz w:val="32"/>
          <w:szCs w:val="40"/>
        </w:rPr>
      </w:pPr>
    </w:p>
    <w:p>
      <w:pPr>
        <w:pStyle w:val="34"/>
        <w:ind w:firstLine="640"/>
        <w:rPr>
          <w:rFonts w:ascii="Times New Roman" w:hAnsi="Times New Roman" w:eastAsia="方正仿宋简体" w:cs="方正仿宋简体"/>
          <w:sz w:val="32"/>
          <w:szCs w:val="40"/>
        </w:rPr>
      </w:pPr>
    </w:p>
    <w:p>
      <w:pPr>
        <w:pStyle w:val="34"/>
        <w:ind w:firstLine="640"/>
        <w:rPr>
          <w:rFonts w:ascii="Times New Roman" w:hAnsi="Times New Roman" w:eastAsia="方正仿宋简体" w:cs="方正仿宋简体"/>
          <w:sz w:val="32"/>
          <w:szCs w:val="40"/>
        </w:rPr>
      </w:pPr>
    </w:p>
    <w:p>
      <w:pPr>
        <w:pStyle w:val="34"/>
        <w:ind w:firstLine="640"/>
        <w:rPr>
          <w:rFonts w:ascii="Times New Roman" w:hAnsi="Times New Roman" w:eastAsia="方正仿宋简体" w:cs="方正仿宋简体"/>
          <w:sz w:val="32"/>
          <w:szCs w:val="40"/>
        </w:rPr>
      </w:pPr>
    </w:p>
    <w:p>
      <w:pPr>
        <w:pStyle w:val="34"/>
        <w:ind w:firstLine="640"/>
        <w:rPr>
          <w:rFonts w:ascii="Times New Roman" w:hAnsi="Times New Roman" w:eastAsia="方正仿宋简体" w:cs="方正仿宋简体"/>
          <w:sz w:val="32"/>
          <w:szCs w:val="40"/>
        </w:rPr>
      </w:pPr>
    </w:p>
    <w:p>
      <w:pPr>
        <w:pStyle w:val="34"/>
        <w:ind w:firstLine="640"/>
        <w:rPr>
          <w:rFonts w:ascii="Times New Roman" w:hAnsi="Times New Roman" w:eastAsia="方正仿宋简体" w:cs="方正仿宋简体"/>
          <w:sz w:val="32"/>
          <w:szCs w:val="40"/>
        </w:rPr>
      </w:pPr>
    </w:p>
    <w:p>
      <w:pPr>
        <w:pStyle w:val="34"/>
        <w:ind w:firstLine="0" w:firstLineChars="0"/>
        <w:jc w:val="cente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t>宁波市奉化区发展和改革局</w:t>
      </w:r>
    </w:p>
    <w:p>
      <w:pPr>
        <w:pStyle w:val="34"/>
        <w:ind w:firstLine="0" w:firstLineChars="0"/>
        <w:jc w:val="cente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t>2023年</w:t>
      </w:r>
      <w:r>
        <w:rPr>
          <w:rFonts w:hint="eastAsia" w:ascii="方正小标宋简体" w:hAnsi="方正小标宋简体" w:eastAsia="方正小标宋简体" w:cs="方正小标宋简体"/>
          <w:sz w:val="32"/>
          <w:szCs w:val="40"/>
          <w:lang w:val="en-US" w:eastAsia="zh-CN"/>
        </w:rPr>
        <w:t>11</w:t>
      </w:r>
      <w:r>
        <w:rPr>
          <w:rFonts w:hint="eastAsia" w:ascii="方正小标宋简体" w:hAnsi="方正小标宋简体" w:eastAsia="方正小标宋简体" w:cs="方正小标宋简体"/>
          <w:sz w:val="32"/>
          <w:szCs w:val="40"/>
        </w:rPr>
        <w:t>月</w:t>
      </w:r>
    </w:p>
    <w:p>
      <w:pPr>
        <w:pStyle w:val="34"/>
        <w:ind w:firstLine="0" w:firstLineChars="0"/>
        <w:rPr>
          <w:rFonts w:ascii="Times New Roman" w:hAnsi="Times New Roman" w:eastAsia="方正仿宋简体" w:cs="方正仿宋简体"/>
          <w:sz w:val="32"/>
          <w:szCs w:val="40"/>
        </w:rPr>
        <w:sectPr>
          <w:headerReference r:id="rId3" w:type="default"/>
          <w:footerReference r:id="rId4" w:type="default"/>
          <w:pgSz w:w="11906" w:h="16838"/>
          <w:pgMar w:top="1440" w:right="1800" w:bottom="1440" w:left="1800" w:header="851" w:footer="992" w:gutter="0"/>
          <w:pgNumType w:fmt="upperRoman"/>
          <w:cols w:space="720" w:num="1"/>
          <w:docGrid w:type="lines" w:linePitch="312" w:charSpace="0"/>
        </w:sectPr>
      </w:pPr>
    </w:p>
    <w:sdt>
      <w:sdtPr>
        <w:rPr>
          <w:rFonts w:ascii="Times New Roman" w:hAnsi="Times New Roman" w:eastAsia="方正黑体简体" w:cs="方正黑体简体"/>
          <w:color w:val="auto"/>
          <w:kern w:val="2"/>
          <w:sz w:val="21"/>
          <w:szCs w:val="40"/>
        </w:rPr>
        <w:id w:val="1947346661"/>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46"/>
            <w:jc w:val="center"/>
            <w:rPr>
              <w:rFonts w:ascii="Times New Roman" w:hAnsi="Times New Roman" w:eastAsia="方正黑体简体" w:cs="方正黑体简体"/>
              <w:color w:val="auto"/>
              <w:kern w:val="2"/>
              <w:szCs w:val="40"/>
            </w:rPr>
          </w:pPr>
          <w:r>
            <w:rPr>
              <w:rFonts w:ascii="Times New Roman" w:hAnsi="Times New Roman" w:eastAsia="方正黑体简体" w:cs="方正黑体简体"/>
              <w:color w:val="auto"/>
              <w:kern w:val="2"/>
              <w:szCs w:val="40"/>
            </w:rPr>
            <w:t>目</w:t>
          </w:r>
          <w:r>
            <w:rPr>
              <w:rFonts w:hint="eastAsia" w:ascii="Times New Roman" w:hAnsi="Times New Roman" w:eastAsia="方正黑体简体" w:cs="方正黑体简体"/>
              <w:color w:val="auto"/>
              <w:kern w:val="2"/>
              <w:szCs w:val="40"/>
            </w:rPr>
            <w:t xml:space="preserve"> </w:t>
          </w:r>
          <w:r>
            <w:rPr>
              <w:rFonts w:ascii="Times New Roman" w:hAnsi="Times New Roman" w:eastAsia="方正黑体简体" w:cs="方正黑体简体"/>
              <w:color w:val="auto"/>
              <w:kern w:val="2"/>
              <w:szCs w:val="40"/>
            </w:rPr>
            <w:t xml:space="preserve"> 录</w:t>
          </w:r>
        </w:p>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TOC \o "1-3" \h \z \u </w:instrText>
          </w:r>
          <w:r>
            <w:rPr>
              <w:sz w:val="28"/>
              <w:szCs w:val="28"/>
            </w:rPr>
            <w:fldChar w:fldCharType="separate"/>
          </w:r>
          <w:r>
            <w:rPr>
              <w:sz w:val="28"/>
              <w:szCs w:val="28"/>
            </w:rPr>
            <w:fldChar w:fldCharType="begin"/>
          </w:r>
          <w:r>
            <w:rPr>
              <w:sz w:val="28"/>
              <w:szCs w:val="28"/>
            </w:rPr>
            <w:instrText xml:space="preserve"> HYPERLINK \l _Toc23893 </w:instrText>
          </w:r>
          <w:r>
            <w:rPr>
              <w:sz w:val="28"/>
              <w:szCs w:val="28"/>
            </w:rPr>
            <w:fldChar w:fldCharType="separate"/>
          </w:r>
          <w:r>
            <w:rPr>
              <w:rFonts w:eastAsia="方正黑体简体"/>
              <w:bCs w:val="0"/>
              <w:sz w:val="28"/>
              <w:szCs w:val="28"/>
            </w:rPr>
            <w:t>一、</w:t>
          </w:r>
          <w:r>
            <w:rPr>
              <w:rFonts w:hint="eastAsia" w:eastAsia="方正黑体简体"/>
              <w:bCs w:val="0"/>
              <w:sz w:val="28"/>
              <w:szCs w:val="28"/>
            </w:rPr>
            <w:t>《纲要》</w:t>
          </w:r>
          <w:r>
            <w:rPr>
              <w:rFonts w:eastAsia="方正黑体简体"/>
              <w:bCs w:val="0"/>
              <w:sz w:val="28"/>
              <w:szCs w:val="28"/>
            </w:rPr>
            <w:t>指标进展评价</w:t>
          </w:r>
          <w:r>
            <w:rPr>
              <w:sz w:val="28"/>
              <w:szCs w:val="28"/>
            </w:rPr>
            <w:tab/>
          </w:r>
          <w:r>
            <w:rPr>
              <w:sz w:val="28"/>
              <w:szCs w:val="28"/>
            </w:rPr>
            <w:fldChar w:fldCharType="begin"/>
          </w:r>
          <w:r>
            <w:rPr>
              <w:sz w:val="28"/>
              <w:szCs w:val="28"/>
            </w:rPr>
            <w:instrText xml:space="preserve"> PAGEREF _Toc23893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_Toc31092 </w:instrText>
          </w:r>
          <w:r>
            <w:rPr>
              <w:bCs/>
              <w:sz w:val="28"/>
              <w:szCs w:val="28"/>
              <w:lang w:val="zh-CN"/>
            </w:rPr>
            <w:fldChar w:fldCharType="separate"/>
          </w:r>
          <w:r>
            <w:rPr>
              <w:rFonts w:ascii="Times New Roman" w:hAnsi="Times New Roman" w:eastAsia="方正楷体简体"/>
              <w:sz w:val="28"/>
              <w:szCs w:val="28"/>
            </w:rPr>
            <w:t>（一）分领域指标进展评价</w:t>
          </w:r>
          <w:r>
            <w:rPr>
              <w:sz w:val="28"/>
              <w:szCs w:val="28"/>
            </w:rPr>
            <w:tab/>
          </w:r>
          <w:r>
            <w:rPr>
              <w:sz w:val="28"/>
              <w:szCs w:val="28"/>
            </w:rPr>
            <w:fldChar w:fldCharType="begin"/>
          </w:r>
          <w:r>
            <w:rPr>
              <w:sz w:val="28"/>
              <w:szCs w:val="28"/>
            </w:rPr>
            <w:instrText xml:space="preserve"> PAGEREF _Toc31092 \h </w:instrText>
          </w:r>
          <w:r>
            <w:rPr>
              <w:sz w:val="28"/>
              <w:szCs w:val="28"/>
            </w:rPr>
            <w:fldChar w:fldCharType="separate"/>
          </w:r>
          <w:r>
            <w:rPr>
              <w:sz w:val="28"/>
              <w:szCs w:val="28"/>
            </w:rPr>
            <w:t>1</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_Toc8550 </w:instrText>
          </w:r>
          <w:r>
            <w:rPr>
              <w:bCs/>
              <w:sz w:val="28"/>
              <w:szCs w:val="28"/>
              <w:lang w:val="zh-CN"/>
            </w:rPr>
            <w:fldChar w:fldCharType="separate"/>
          </w:r>
          <w:r>
            <w:rPr>
              <w:rFonts w:ascii="Times New Roman" w:hAnsi="Times New Roman" w:eastAsia="方正楷体简体"/>
              <w:sz w:val="28"/>
              <w:szCs w:val="28"/>
            </w:rPr>
            <w:t>（二）未达要求指标说明</w:t>
          </w:r>
          <w:r>
            <w:rPr>
              <w:sz w:val="28"/>
              <w:szCs w:val="28"/>
            </w:rPr>
            <w:tab/>
          </w:r>
          <w:r>
            <w:rPr>
              <w:sz w:val="28"/>
              <w:szCs w:val="28"/>
            </w:rPr>
            <w:fldChar w:fldCharType="begin"/>
          </w:r>
          <w:r>
            <w:rPr>
              <w:sz w:val="28"/>
              <w:szCs w:val="28"/>
            </w:rPr>
            <w:instrText xml:space="preserve"> PAGEREF _Toc8550 \h </w:instrText>
          </w:r>
          <w:r>
            <w:rPr>
              <w:sz w:val="28"/>
              <w:szCs w:val="28"/>
            </w:rPr>
            <w:fldChar w:fldCharType="separate"/>
          </w:r>
          <w:r>
            <w:rPr>
              <w:sz w:val="28"/>
              <w:szCs w:val="28"/>
            </w:rPr>
            <w:t>3</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_Toc21140 </w:instrText>
          </w:r>
          <w:r>
            <w:rPr>
              <w:bCs/>
              <w:sz w:val="28"/>
              <w:szCs w:val="28"/>
              <w:lang w:val="zh-CN"/>
            </w:rPr>
            <w:fldChar w:fldCharType="separate"/>
          </w:r>
          <w:r>
            <w:rPr>
              <w:rFonts w:ascii="Times New Roman" w:hAnsi="Times New Roman" w:eastAsia="方正楷体简体"/>
              <w:sz w:val="28"/>
              <w:szCs w:val="28"/>
            </w:rPr>
            <w:t>（三）口径调整指标说明</w:t>
          </w:r>
          <w:r>
            <w:rPr>
              <w:sz w:val="28"/>
              <w:szCs w:val="28"/>
            </w:rPr>
            <w:tab/>
          </w:r>
          <w:r>
            <w:rPr>
              <w:sz w:val="28"/>
              <w:szCs w:val="28"/>
            </w:rPr>
            <w:fldChar w:fldCharType="begin"/>
          </w:r>
          <w:r>
            <w:rPr>
              <w:sz w:val="28"/>
              <w:szCs w:val="28"/>
            </w:rPr>
            <w:instrText xml:space="preserve"> PAGEREF _Toc21140 \h </w:instrText>
          </w:r>
          <w:r>
            <w:rPr>
              <w:sz w:val="28"/>
              <w:szCs w:val="28"/>
            </w:rPr>
            <w:fldChar w:fldCharType="separate"/>
          </w:r>
          <w:r>
            <w:rPr>
              <w:sz w:val="28"/>
              <w:szCs w:val="28"/>
            </w:rPr>
            <w:t>5</w:t>
          </w:r>
          <w:r>
            <w:rPr>
              <w:sz w:val="28"/>
              <w:szCs w:val="28"/>
            </w:rPr>
            <w:fldChar w:fldCharType="end"/>
          </w:r>
          <w:r>
            <w:rPr>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_Toc10798 </w:instrText>
          </w:r>
          <w:r>
            <w:rPr>
              <w:bCs/>
              <w:sz w:val="28"/>
              <w:szCs w:val="28"/>
              <w:lang w:val="zh-CN"/>
            </w:rPr>
            <w:fldChar w:fldCharType="separate"/>
          </w:r>
          <w:r>
            <w:rPr>
              <w:rFonts w:hint="eastAsia" w:eastAsia="方正黑体简体" w:cs="方正黑体简体"/>
              <w:bCs w:val="0"/>
              <w:sz w:val="28"/>
              <w:szCs w:val="28"/>
            </w:rPr>
            <w:t>二、《纲要》任务完成情况</w:t>
          </w:r>
          <w:r>
            <w:rPr>
              <w:sz w:val="28"/>
              <w:szCs w:val="28"/>
            </w:rPr>
            <w:tab/>
          </w:r>
          <w:r>
            <w:rPr>
              <w:sz w:val="28"/>
              <w:szCs w:val="28"/>
            </w:rPr>
            <w:fldChar w:fldCharType="begin"/>
          </w:r>
          <w:r>
            <w:rPr>
              <w:sz w:val="28"/>
              <w:szCs w:val="28"/>
            </w:rPr>
            <w:instrText xml:space="preserve"> PAGEREF _Toc10798 \h </w:instrText>
          </w:r>
          <w:r>
            <w:rPr>
              <w:sz w:val="28"/>
              <w:szCs w:val="28"/>
            </w:rPr>
            <w:fldChar w:fldCharType="separate"/>
          </w:r>
          <w:r>
            <w:rPr>
              <w:sz w:val="28"/>
              <w:szCs w:val="28"/>
            </w:rPr>
            <w:t>6</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_Toc28512 </w:instrText>
          </w:r>
          <w:r>
            <w:rPr>
              <w:bCs/>
              <w:sz w:val="28"/>
              <w:szCs w:val="28"/>
              <w:lang w:val="zh-CN"/>
            </w:rPr>
            <w:fldChar w:fldCharType="separate"/>
          </w:r>
          <w:r>
            <w:rPr>
              <w:rFonts w:ascii="Times New Roman" w:hAnsi="Times New Roman" w:eastAsia="方正楷体简体"/>
              <w:sz w:val="28"/>
              <w:szCs w:val="28"/>
            </w:rPr>
            <w:t>（一）重</w:t>
          </w:r>
          <w:r>
            <w:rPr>
              <w:rFonts w:hint="eastAsia" w:ascii="Times New Roman" w:hAnsi="Times New Roman" w:eastAsia="方正楷体简体"/>
              <w:sz w:val="28"/>
              <w:szCs w:val="28"/>
              <w:lang w:val="en-US" w:eastAsia="zh-CN"/>
            </w:rPr>
            <w:t>大</w:t>
          </w:r>
          <w:r>
            <w:rPr>
              <w:rFonts w:ascii="Times New Roman" w:hAnsi="Times New Roman" w:eastAsia="方正楷体简体"/>
              <w:sz w:val="28"/>
              <w:szCs w:val="28"/>
            </w:rPr>
            <w:t>任务稳步实施</w:t>
          </w:r>
          <w:r>
            <w:rPr>
              <w:sz w:val="28"/>
              <w:szCs w:val="28"/>
            </w:rPr>
            <w:tab/>
          </w:r>
          <w:r>
            <w:rPr>
              <w:sz w:val="28"/>
              <w:szCs w:val="28"/>
            </w:rPr>
            <w:fldChar w:fldCharType="begin"/>
          </w:r>
          <w:r>
            <w:rPr>
              <w:sz w:val="28"/>
              <w:szCs w:val="28"/>
            </w:rPr>
            <w:instrText xml:space="preserve"> PAGEREF _Toc28512 \h </w:instrText>
          </w:r>
          <w:r>
            <w:rPr>
              <w:sz w:val="28"/>
              <w:szCs w:val="28"/>
            </w:rPr>
            <w:fldChar w:fldCharType="separate"/>
          </w:r>
          <w:r>
            <w:rPr>
              <w:sz w:val="28"/>
              <w:szCs w:val="28"/>
            </w:rPr>
            <w:t>6</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_Toc21365 </w:instrText>
          </w:r>
          <w:r>
            <w:rPr>
              <w:bCs/>
              <w:sz w:val="28"/>
              <w:szCs w:val="28"/>
              <w:lang w:val="zh-CN"/>
            </w:rPr>
            <w:fldChar w:fldCharType="separate"/>
          </w:r>
          <w:r>
            <w:rPr>
              <w:rFonts w:ascii="Times New Roman" w:hAnsi="Times New Roman" w:eastAsia="方正楷体简体"/>
              <w:sz w:val="28"/>
              <w:szCs w:val="28"/>
            </w:rPr>
            <w:t>（二）重大平台加快打造</w:t>
          </w:r>
          <w:r>
            <w:rPr>
              <w:sz w:val="28"/>
              <w:szCs w:val="28"/>
            </w:rPr>
            <w:tab/>
          </w:r>
          <w:r>
            <w:rPr>
              <w:sz w:val="28"/>
              <w:szCs w:val="28"/>
            </w:rPr>
            <w:fldChar w:fldCharType="begin"/>
          </w:r>
          <w:r>
            <w:rPr>
              <w:sz w:val="28"/>
              <w:szCs w:val="28"/>
            </w:rPr>
            <w:instrText xml:space="preserve"> PAGEREF _Toc21365 \h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_Toc1322 </w:instrText>
          </w:r>
          <w:r>
            <w:rPr>
              <w:bCs/>
              <w:sz w:val="28"/>
              <w:szCs w:val="28"/>
              <w:lang w:val="zh-CN"/>
            </w:rPr>
            <w:fldChar w:fldCharType="separate"/>
          </w:r>
          <w:r>
            <w:rPr>
              <w:rFonts w:ascii="Times New Roman" w:hAnsi="Times New Roman" w:eastAsia="方正楷体简体"/>
              <w:sz w:val="28"/>
              <w:szCs w:val="28"/>
            </w:rPr>
            <w:t>（三）重</w:t>
          </w:r>
          <w:r>
            <w:rPr>
              <w:rFonts w:hint="eastAsia" w:ascii="Times New Roman" w:hAnsi="Times New Roman" w:eastAsia="方正楷体简体"/>
              <w:sz w:val="28"/>
              <w:szCs w:val="28"/>
              <w:lang w:val="en-US" w:eastAsia="zh-CN"/>
            </w:rPr>
            <w:t>大</w:t>
          </w:r>
          <w:r>
            <w:rPr>
              <w:rFonts w:ascii="Times New Roman" w:hAnsi="Times New Roman" w:eastAsia="方正楷体简体"/>
              <w:sz w:val="28"/>
              <w:szCs w:val="28"/>
            </w:rPr>
            <w:t>改革推进有力</w:t>
          </w:r>
          <w:r>
            <w:rPr>
              <w:sz w:val="28"/>
              <w:szCs w:val="28"/>
            </w:rPr>
            <w:tab/>
          </w:r>
          <w:r>
            <w:rPr>
              <w:sz w:val="28"/>
              <w:szCs w:val="28"/>
            </w:rPr>
            <w:fldChar w:fldCharType="begin"/>
          </w:r>
          <w:r>
            <w:rPr>
              <w:sz w:val="28"/>
              <w:szCs w:val="28"/>
            </w:rPr>
            <w:instrText xml:space="preserve"> PAGEREF _Toc1322 \h </w:instrText>
          </w:r>
          <w:r>
            <w:rPr>
              <w:sz w:val="28"/>
              <w:szCs w:val="28"/>
            </w:rPr>
            <w:fldChar w:fldCharType="separate"/>
          </w:r>
          <w:r>
            <w:rPr>
              <w:sz w:val="28"/>
              <w:szCs w:val="28"/>
            </w:rPr>
            <w:t>17</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_Toc11105 </w:instrText>
          </w:r>
          <w:r>
            <w:rPr>
              <w:bCs/>
              <w:sz w:val="28"/>
              <w:szCs w:val="28"/>
              <w:lang w:val="zh-CN"/>
            </w:rPr>
            <w:fldChar w:fldCharType="separate"/>
          </w:r>
          <w:r>
            <w:rPr>
              <w:rFonts w:ascii="Times New Roman" w:hAnsi="Times New Roman" w:eastAsia="方正楷体简体"/>
              <w:sz w:val="28"/>
              <w:szCs w:val="28"/>
            </w:rPr>
            <w:t>（四）重大项目加快推进</w:t>
          </w:r>
          <w:r>
            <w:rPr>
              <w:sz w:val="28"/>
              <w:szCs w:val="28"/>
            </w:rPr>
            <w:tab/>
          </w:r>
          <w:r>
            <w:rPr>
              <w:sz w:val="28"/>
              <w:szCs w:val="28"/>
            </w:rPr>
            <w:fldChar w:fldCharType="begin"/>
          </w:r>
          <w:r>
            <w:rPr>
              <w:sz w:val="28"/>
              <w:szCs w:val="28"/>
            </w:rPr>
            <w:instrText xml:space="preserve"> PAGEREF _Toc11105 \h </w:instrText>
          </w:r>
          <w:r>
            <w:rPr>
              <w:sz w:val="28"/>
              <w:szCs w:val="28"/>
            </w:rPr>
            <w:fldChar w:fldCharType="separate"/>
          </w:r>
          <w:r>
            <w:rPr>
              <w:sz w:val="28"/>
              <w:szCs w:val="28"/>
            </w:rPr>
            <w:t>20</w:t>
          </w:r>
          <w:r>
            <w:rPr>
              <w:sz w:val="28"/>
              <w:szCs w:val="28"/>
            </w:rPr>
            <w:fldChar w:fldCharType="end"/>
          </w:r>
          <w:r>
            <w:rPr>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_Toc18219 </w:instrText>
          </w:r>
          <w:r>
            <w:rPr>
              <w:bCs/>
              <w:sz w:val="28"/>
              <w:szCs w:val="28"/>
              <w:lang w:val="zh-CN"/>
            </w:rPr>
            <w:fldChar w:fldCharType="separate"/>
          </w:r>
          <w:r>
            <w:rPr>
              <w:rFonts w:hint="eastAsia" w:eastAsia="方正黑体简体" w:cs="方正黑体简体"/>
              <w:bCs w:val="0"/>
              <w:sz w:val="28"/>
              <w:szCs w:val="28"/>
            </w:rPr>
            <w:t>三、经验总结及问题形势分析</w:t>
          </w:r>
          <w:r>
            <w:rPr>
              <w:sz w:val="28"/>
              <w:szCs w:val="28"/>
            </w:rPr>
            <w:tab/>
          </w:r>
          <w:r>
            <w:rPr>
              <w:sz w:val="28"/>
              <w:szCs w:val="28"/>
            </w:rPr>
            <w:fldChar w:fldCharType="begin"/>
          </w:r>
          <w:r>
            <w:rPr>
              <w:sz w:val="28"/>
              <w:szCs w:val="28"/>
            </w:rPr>
            <w:instrText xml:space="preserve"> PAGEREF _Toc18219 \h </w:instrText>
          </w:r>
          <w:r>
            <w:rPr>
              <w:sz w:val="28"/>
              <w:szCs w:val="28"/>
            </w:rPr>
            <w:fldChar w:fldCharType="separate"/>
          </w:r>
          <w:r>
            <w:rPr>
              <w:sz w:val="28"/>
              <w:szCs w:val="28"/>
            </w:rPr>
            <w:t>23</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_Toc4345 </w:instrText>
          </w:r>
          <w:r>
            <w:rPr>
              <w:bCs/>
              <w:sz w:val="28"/>
              <w:szCs w:val="28"/>
              <w:lang w:val="zh-CN"/>
            </w:rPr>
            <w:fldChar w:fldCharType="separate"/>
          </w:r>
          <w:r>
            <w:rPr>
              <w:rFonts w:hint="eastAsia" w:ascii="Times New Roman" w:hAnsi="Times New Roman" w:eastAsia="方正楷体简体" w:cs="方正楷体简体"/>
              <w:sz w:val="28"/>
              <w:szCs w:val="28"/>
            </w:rPr>
            <w:t>（一）《纲要》实施经验总结</w:t>
          </w:r>
          <w:r>
            <w:rPr>
              <w:sz w:val="28"/>
              <w:szCs w:val="28"/>
            </w:rPr>
            <w:tab/>
          </w:r>
          <w:r>
            <w:rPr>
              <w:sz w:val="28"/>
              <w:szCs w:val="28"/>
            </w:rPr>
            <w:fldChar w:fldCharType="begin"/>
          </w:r>
          <w:r>
            <w:rPr>
              <w:sz w:val="28"/>
              <w:szCs w:val="28"/>
            </w:rPr>
            <w:instrText xml:space="preserve"> PAGEREF _Toc4345 \h </w:instrText>
          </w:r>
          <w:r>
            <w:rPr>
              <w:sz w:val="28"/>
              <w:szCs w:val="28"/>
            </w:rPr>
            <w:fldChar w:fldCharType="separate"/>
          </w:r>
          <w:r>
            <w:rPr>
              <w:sz w:val="28"/>
              <w:szCs w:val="28"/>
            </w:rPr>
            <w:t>23</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_Toc19028 </w:instrText>
          </w:r>
          <w:r>
            <w:rPr>
              <w:bCs/>
              <w:sz w:val="28"/>
              <w:szCs w:val="28"/>
              <w:lang w:val="zh-CN"/>
            </w:rPr>
            <w:fldChar w:fldCharType="separate"/>
          </w:r>
          <w:r>
            <w:rPr>
              <w:rFonts w:hint="eastAsia" w:ascii="Times New Roman" w:hAnsi="Times New Roman" w:eastAsia="方正楷体简体" w:cs="方正楷体简体"/>
              <w:sz w:val="28"/>
              <w:szCs w:val="28"/>
            </w:rPr>
            <w:t>（二）下一步需要重点关注的若干问题</w:t>
          </w:r>
          <w:r>
            <w:rPr>
              <w:sz w:val="28"/>
              <w:szCs w:val="28"/>
            </w:rPr>
            <w:tab/>
          </w:r>
          <w:r>
            <w:rPr>
              <w:sz w:val="28"/>
              <w:szCs w:val="28"/>
            </w:rPr>
            <w:fldChar w:fldCharType="begin"/>
          </w:r>
          <w:r>
            <w:rPr>
              <w:sz w:val="28"/>
              <w:szCs w:val="28"/>
            </w:rPr>
            <w:instrText xml:space="preserve"> PAGEREF _Toc19028 \h </w:instrText>
          </w:r>
          <w:r>
            <w:rPr>
              <w:sz w:val="28"/>
              <w:szCs w:val="28"/>
            </w:rPr>
            <w:fldChar w:fldCharType="separate"/>
          </w:r>
          <w:r>
            <w:rPr>
              <w:sz w:val="28"/>
              <w:szCs w:val="28"/>
            </w:rPr>
            <w:t>27</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_Toc15726 </w:instrText>
          </w:r>
          <w:r>
            <w:rPr>
              <w:bCs/>
              <w:sz w:val="28"/>
              <w:szCs w:val="28"/>
              <w:lang w:val="zh-CN"/>
            </w:rPr>
            <w:fldChar w:fldCharType="separate"/>
          </w:r>
          <w:r>
            <w:rPr>
              <w:rFonts w:hint="eastAsia" w:ascii="Times New Roman" w:hAnsi="Times New Roman" w:eastAsia="方正楷体简体" w:cs="方正楷体简体"/>
              <w:sz w:val="28"/>
              <w:szCs w:val="28"/>
            </w:rPr>
            <w:t>（三）“十四五”下半程面临形势</w:t>
          </w:r>
          <w:r>
            <w:rPr>
              <w:sz w:val="28"/>
              <w:szCs w:val="28"/>
            </w:rPr>
            <w:tab/>
          </w:r>
          <w:r>
            <w:rPr>
              <w:sz w:val="28"/>
              <w:szCs w:val="28"/>
            </w:rPr>
            <w:fldChar w:fldCharType="begin"/>
          </w:r>
          <w:r>
            <w:rPr>
              <w:sz w:val="28"/>
              <w:szCs w:val="28"/>
            </w:rPr>
            <w:instrText xml:space="preserve"> PAGEREF _Toc15726 \h </w:instrText>
          </w:r>
          <w:r>
            <w:rPr>
              <w:sz w:val="28"/>
              <w:szCs w:val="28"/>
            </w:rPr>
            <w:fldChar w:fldCharType="separate"/>
          </w:r>
          <w:r>
            <w:rPr>
              <w:sz w:val="28"/>
              <w:szCs w:val="28"/>
            </w:rPr>
            <w:t>30</w:t>
          </w:r>
          <w:r>
            <w:rPr>
              <w:sz w:val="28"/>
              <w:szCs w:val="28"/>
            </w:rPr>
            <w:fldChar w:fldCharType="end"/>
          </w:r>
          <w:r>
            <w:rPr>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_Toc7251 </w:instrText>
          </w:r>
          <w:r>
            <w:rPr>
              <w:bCs/>
              <w:sz w:val="28"/>
              <w:szCs w:val="28"/>
              <w:lang w:val="zh-CN"/>
            </w:rPr>
            <w:fldChar w:fldCharType="separate"/>
          </w:r>
          <w:r>
            <w:rPr>
              <w:rFonts w:hint="eastAsia" w:eastAsia="方正黑体简体" w:cs="方正黑体简体"/>
              <w:sz w:val="28"/>
              <w:szCs w:val="28"/>
            </w:rPr>
            <w:t>四、“十四五”中后期《纲要》实施的对策建议</w:t>
          </w:r>
          <w:r>
            <w:rPr>
              <w:sz w:val="28"/>
              <w:szCs w:val="28"/>
            </w:rPr>
            <w:tab/>
          </w:r>
          <w:r>
            <w:rPr>
              <w:sz w:val="28"/>
              <w:szCs w:val="28"/>
            </w:rPr>
            <w:fldChar w:fldCharType="begin"/>
          </w:r>
          <w:r>
            <w:rPr>
              <w:sz w:val="28"/>
              <w:szCs w:val="28"/>
            </w:rPr>
            <w:instrText xml:space="preserve"> PAGEREF _Toc7251 \h </w:instrText>
          </w:r>
          <w:r>
            <w:rPr>
              <w:sz w:val="28"/>
              <w:szCs w:val="28"/>
            </w:rPr>
            <w:fldChar w:fldCharType="separate"/>
          </w:r>
          <w:r>
            <w:rPr>
              <w:sz w:val="28"/>
              <w:szCs w:val="28"/>
            </w:rPr>
            <w:t>31</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_Toc22011 </w:instrText>
          </w:r>
          <w:r>
            <w:rPr>
              <w:bCs/>
              <w:sz w:val="28"/>
              <w:szCs w:val="28"/>
              <w:lang w:val="zh-CN"/>
            </w:rPr>
            <w:fldChar w:fldCharType="separate"/>
          </w:r>
          <w:r>
            <w:rPr>
              <w:rFonts w:hint="eastAsia" w:ascii="Times New Roman" w:hAnsi="Times New Roman" w:eastAsia="方正楷体简体" w:cs="方正楷体简体"/>
              <w:sz w:val="28"/>
              <w:szCs w:val="28"/>
            </w:rPr>
            <w:t>（一）强力推进创新深化，加快创新型城市建设</w:t>
          </w:r>
          <w:r>
            <w:rPr>
              <w:sz w:val="28"/>
              <w:szCs w:val="28"/>
            </w:rPr>
            <w:tab/>
          </w:r>
          <w:r>
            <w:rPr>
              <w:sz w:val="28"/>
              <w:szCs w:val="28"/>
            </w:rPr>
            <w:fldChar w:fldCharType="begin"/>
          </w:r>
          <w:r>
            <w:rPr>
              <w:sz w:val="28"/>
              <w:szCs w:val="28"/>
            </w:rPr>
            <w:instrText xml:space="preserve"> PAGEREF _Toc22011 \h </w:instrText>
          </w:r>
          <w:r>
            <w:rPr>
              <w:sz w:val="28"/>
              <w:szCs w:val="28"/>
            </w:rPr>
            <w:fldChar w:fldCharType="separate"/>
          </w:r>
          <w:r>
            <w:rPr>
              <w:sz w:val="28"/>
              <w:szCs w:val="28"/>
            </w:rPr>
            <w:t>31</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_Toc26923 </w:instrText>
          </w:r>
          <w:r>
            <w:rPr>
              <w:bCs/>
              <w:sz w:val="28"/>
              <w:szCs w:val="28"/>
              <w:lang w:val="zh-CN"/>
            </w:rPr>
            <w:fldChar w:fldCharType="separate"/>
          </w:r>
          <w:r>
            <w:rPr>
              <w:rFonts w:hint="eastAsia" w:ascii="Times New Roman" w:hAnsi="Times New Roman" w:eastAsia="方正楷体简体" w:cs="方正楷体简体"/>
              <w:sz w:val="28"/>
              <w:szCs w:val="28"/>
            </w:rPr>
            <w:t>（二）筑牢产业发展根基，培育发展新动能</w:t>
          </w:r>
          <w:r>
            <w:rPr>
              <w:sz w:val="28"/>
              <w:szCs w:val="28"/>
            </w:rPr>
            <w:tab/>
          </w:r>
          <w:r>
            <w:rPr>
              <w:sz w:val="28"/>
              <w:szCs w:val="28"/>
            </w:rPr>
            <w:fldChar w:fldCharType="begin"/>
          </w:r>
          <w:r>
            <w:rPr>
              <w:sz w:val="28"/>
              <w:szCs w:val="28"/>
            </w:rPr>
            <w:instrText xml:space="preserve"> PAGEREF _Toc26923 \h </w:instrText>
          </w:r>
          <w:r>
            <w:rPr>
              <w:sz w:val="28"/>
              <w:szCs w:val="28"/>
            </w:rPr>
            <w:fldChar w:fldCharType="separate"/>
          </w:r>
          <w:r>
            <w:rPr>
              <w:sz w:val="28"/>
              <w:szCs w:val="28"/>
            </w:rPr>
            <w:t>33</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_Toc25995 </w:instrText>
          </w:r>
          <w:r>
            <w:rPr>
              <w:bCs/>
              <w:sz w:val="28"/>
              <w:szCs w:val="28"/>
              <w:lang w:val="zh-CN"/>
            </w:rPr>
            <w:fldChar w:fldCharType="separate"/>
          </w:r>
          <w:r>
            <w:rPr>
              <w:rFonts w:hint="eastAsia" w:ascii="Times New Roman" w:hAnsi="Times New Roman" w:eastAsia="方正楷体简体" w:cs="方正楷体简体"/>
              <w:sz w:val="28"/>
              <w:szCs w:val="28"/>
            </w:rPr>
            <w:t>（三）加强项目统筹攻坚，完善项目招引建设机制</w:t>
          </w:r>
          <w:r>
            <w:rPr>
              <w:sz w:val="28"/>
              <w:szCs w:val="28"/>
            </w:rPr>
            <w:tab/>
          </w:r>
          <w:r>
            <w:rPr>
              <w:sz w:val="28"/>
              <w:szCs w:val="28"/>
            </w:rPr>
            <w:fldChar w:fldCharType="begin"/>
          </w:r>
          <w:r>
            <w:rPr>
              <w:sz w:val="28"/>
              <w:szCs w:val="28"/>
            </w:rPr>
            <w:instrText xml:space="preserve"> PAGEREF _Toc25995 \h </w:instrText>
          </w:r>
          <w:r>
            <w:rPr>
              <w:sz w:val="28"/>
              <w:szCs w:val="28"/>
            </w:rPr>
            <w:fldChar w:fldCharType="separate"/>
          </w:r>
          <w:r>
            <w:rPr>
              <w:sz w:val="28"/>
              <w:szCs w:val="28"/>
            </w:rPr>
            <w:t>35</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_Toc11086 </w:instrText>
          </w:r>
          <w:r>
            <w:rPr>
              <w:bCs/>
              <w:sz w:val="28"/>
              <w:szCs w:val="28"/>
              <w:lang w:val="zh-CN"/>
            </w:rPr>
            <w:fldChar w:fldCharType="separate"/>
          </w:r>
          <w:r>
            <w:rPr>
              <w:rFonts w:hint="eastAsia" w:ascii="Times New Roman" w:hAnsi="Times New Roman" w:eastAsia="方正楷体简体" w:cs="方正楷体简体"/>
              <w:sz w:val="28"/>
              <w:szCs w:val="28"/>
            </w:rPr>
            <w:t>（四）持续推动城乡建设，打造魅力山海名城</w:t>
          </w:r>
          <w:r>
            <w:rPr>
              <w:sz w:val="28"/>
              <w:szCs w:val="28"/>
            </w:rPr>
            <w:tab/>
          </w:r>
          <w:r>
            <w:rPr>
              <w:sz w:val="28"/>
              <w:szCs w:val="28"/>
            </w:rPr>
            <w:fldChar w:fldCharType="begin"/>
          </w:r>
          <w:r>
            <w:rPr>
              <w:sz w:val="28"/>
              <w:szCs w:val="28"/>
            </w:rPr>
            <w:instrText xml:space="preserve"> PAGEREF _Toc11086 \h </w:instrText>
          </w:r>
          <w:r>
            <w:rPr>
              <w:sz w:val="28"/>
              <w:szCs w:val="28"/>
            </w:rPr>
            <w:fldChar w:fldCharType="separate"/>
          </w:r>
          <w:r>
            <w:rPr>
              <w:sz w:val="28"/>
              <w:szCs w:val="28"/>
            </w:rPr>
            <w:t>36</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_Toc21327 </w:instrText>
          </w:r>
          <w:r>
            <w:rPr>
              <w:bCs/>
              <w:sz w:val="28"/>
              <w:szCs w:val="28"/>
              <w:lang w:val="zh-CN"/>
            </w:rPr>
            <w:fldChar w:fldCharType="separate"/>
          </w:r>
          <w:r>
            <w:rPr>
              <w:rFonts w:hint="eastAsia" w:ascii="Times New Roman" w:hAnsi="Times New Roman" w:eastAsia="方正楷体简体" w:cs="方正楷体简体"/>
              <w:sz w:val="28"/>
              <w:szCs w:val="28"/>
            </w:rPr>
            <w:t>（五）全面提升营商环境，构建改革开放新格局</w:t>
          </w:r>
          <w:r>
            <w:rPr>
              <w:sz w:val="28"/>
              <w:szCs w:val="28"/>
            </w:rPr>
            <w:tab/>
          </w:r>
          <w:r>
            <w:rPr>
              <w:sz w:val="28"/>
              <w:szCs w:val="28"/>
            </w:rPr>
            <w:fldChar w:fldCharType="begin"/>
          </w:r>
          <w:r>
            <w:rPr>
              <w:sz w:val="28"/>
              <w:szCs w:val="28"/>
            </w:rPr>
            <w:instrText xml:space="preserve"> PAGEREF _Toc21327 \h </w:instrText>
          </w:r>
          <w:r>
            <w:rPr>
              <w:sz w:val="28"/>
              <w:szCs w:val="28"/>
            </w:rPr>
            <w:fldChar w:fldCharType="separate"/>
          </w:r>
          <w:r>
            <w:rPr>
              <w:sz w:val="28"/>
              <w:szCs w:val="28"/>
            </w:rPr>
            <w:t>37</w:t>
          </w:r>
          <w:r>
            <w:rPr>
              <w:sz w:val="28"/>
              <w:szCs w:val="28"/>
            </w:rPr>
            <w:fldChar w:fldCharType="end"/>
          </w:r>
          <w:r>
            <w:rPr>
              <w:bCs/>
              <w:sz w:val="28"/>
              <w:szCs w:val="28"/>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_Toc12700 </w:instrText>
          </w:r>
          <w:r>
            <w:rPr>
              <w:bCs/>
              <w:sz w:val="28"/>
              <w:szCs w:val="28"/>
              <w:lang w:val="zh-CN"/>
            </w:rPr>
            <w:fldChar w:fldCharType="separate"/>
          </w:r>
          <w:r>
            <w:rPr>
              <w:rFonts w:hint="eastAsia" w:ascii="Times New Roman" w:hAnsi="Times New Roman" w:eastAsia="方正楷体简体" w:cs="方正楷体简体"/>
              <w:sz w:val="28"/>
              <w:szCs w:val="28"/>
            </w:rPr>
            <w:t>（六）擦亮“奉有”幸福品牌，扎实推动民生优享</w:t>
          </w:r>
          <w:r>
            <w:rPr>
              <w:sz w:val="28"/>
              <w:szCs w:val="28"/>
            </w:rPr>
            <w:tab/>
          </w:r>
          <w:r>
            <w:rPr>
              <w:sz w:val="28"/>
              <w:szCs w:val="28"/>
            </w:rPr>
            <w:fldChar w:fldCharType="begin"/>
          </w:r>
          <w:r>
            <w:rPr>
              <w:sz w:val="28"/>
              <w:szCs w:val="28"/>
            </w:rPr>
            <w:instrText xml:space="preserve"> PAGEREF _Toc12700 \h </w:instrText>
          </w:r>
          <w:r>
            <w:rPr>
              <w:sz w:val="28"/>
              <w:szCs w:val="28"/>
            </w:rPr>
            <w:fldChar w:fldCharType="separate"/>
          </w:r>
          <w:r>
            <w:rPr>
              <w:sz w:val="28"/>
              <w:szCs w:val="28"/>
            </w:rPr>
            <w:t>39</w:t>
          </w:r>
          <w:r>
            <w:rPr>
              <w:sz w:val="28"/>
              <w:szCs w:val="28"/>
            </w:rPr>
            <w:fldChar w:fldCharType="end"/>
          </w:r>
          <w:r>
            <w:rPr>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_Toc3381 </w:instrText>
          </w:r>
          <w:r>
            <w:rPr>
              <w:bCs/>
              <w:sz w:val="28"/>
              <w:szCs w:val="28"/>
              <w:lang w:val="zh-CN"/>
            </w:rPr>
            <w:fldChar w:fldCharType="separate"/>
          </w:r>
          <w:r>
            <w:rPr>
              <w:rFonts w:hint="eastAsia" w:eastAsia="方正黑体简体" w:cs="方正黑体简体"/>
              <w:bCs w:val="0"/>
              <w:sz w:val="28"/>
              <w:szCs w:val="28"/>
            </w:rPr>
            <w:t>附表1  《纲要》重点指标体系完成情况表</w:t>
          </w:r>
          <w:r>
            <w:rPr>
              <w:sz w:val="28"/>
              <w:szCs w:val="28"/>
            </w:rPr>
            <w:tab/>
          </w:r>
          <w:r>
            <w:rPr>
              <w:sz w:val="28"/>
              <w:szCs w:val="28"/>
            </w:rPr>
            <w:fldChar w:fldCharType="begin"/>
          </w:r>
          <w:r>
            <w:rPr>
              <w:sz w:val="28"/>
              <w:szCs w:val="28"/>
            </w:rPr>
            <w:instrText xml:space="preserve"> PAGEREF _Toc3381 \h </w:instrText>
          </w:r>
          <w:r>
            <w:rPr>
              <w:sz w:val="28"/>
              <w:szCs w:val="28"/>
            </w:rPr>
            <w:fldChar w:fldCharType="separate"/>
          </w:r>
          <w:r>
            <w:rPr>
              <w:sz w:val="28"/>
              <w:szCs w:val="28"/>
            </w:rPr>
            <w:t>41</w:t>
          </w:r>
          <w:r>
            <w:rPr>
              <w:sz w:val="28"/>
              <w:szCs w:val="28"/>
            </w:rPr>
            <w:fldChar w:fldCharType="end"/>
          </w:r>
          <w:r>
            <w:rPr>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_Toc27287 </w:instrText>
          </w:r>
          <w:r>
            <w:rPr>
              <w:bCs/>
              <w:sz w:val="28"/>
              <w:szCs w:val="28"/>
              <w:lang w:val="zh-CN"/>
            </w:rPr>
            <w:fldChar w:fldCharType="separate"/>
          </w:r>
          <w:r>
            <w:rPr>
              <w:rFonts w:hint="eastAsia" w:eastAsia="方正黑体简体" w:cs="方正黑体简体"/>
              <w:bCs w:val="0"/>
              <w:sz w:val="28"/>
              <w:szCs w:val="28"/>
            </w:rPr>
            <w:t xml:space="preserve">附表2  </w:t>
          </w:r>
          <w:r>
            <w:rPr>
              <w:rFonts w:hint="eastAsia" w:eastAsia="黑体" w:cs="黑体"/>
              <w:sz w:val="28"/>
              <w:szCs w:val="28"/>
            </w:rPr>
            <w:t>宁波市“十四五”规划涉及奉化重点事项及项目</w:t>
          </w:r>
          <w:r>
            <w:rPr>
              <w:sz w:val="28"/>
              <w:szCs w:val="28"/>
            </w:rPr>
            <w:tab/>
          </w:r>
          <w:r>
            <w:rPr>
              <w:sz w:val="28"/>
              <w:szCs w:val="28"/>
            </w:rPr>
            <w:fldChar w:fldCharType="begin"/>
          </w:r>
          <w:r>
            <w:rPr>
              <w:sz w:val="28"/>
              <w:szCs w:val="28"/>
            </w:rPr>
            <w:instrText xml:space="preserve"> PAGEREF _Toc27287 \h </w:instrText>
          </w:r>
          <w:r>
            <w:rPr>
              <w:sz w:val="28"/>
              <w:szCs w:val="28"/>
            </w:rPr>
            <w:fldChar w:fldCharType="separate"/>
          </w:r>
          <w:r>
            <w:rPr>
              <w:sz w:val="28"/>
              <w:szCs w:val="28"/>
            </w:rPr>
            <w:t>44</w:t>
          </w:r>
          <w:r>
            <w:rPr>
              <w:sz w:val="28"/>
              <w:szCs w:val="28"/>
            </w:rPr>
            <w:fldChar w:fldCharType="end"/>
          </w:r>
          <w:r>
            <w:rPr>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bCs/>
              <w:sz w:val="28"/>
              <w:szCs w:val="28"/>
              <w:lang w:val="zh-CN"/>
            </w:rPr>
            <w:fldChar w:fldCharType="begin"/>
          </w:r>
          <w:r>
            <w:rPr>
              <w:bCs/>
              <w:sz w:val="28"/>
              <w:szCs w:val="28"/>
              <w:lang w:val="zh-CN"/>
            </w:rPr>
            <w:instrText xml:space="preserve"> HYPERLINK \l _Toc18140 </w:instrText>
          </w:r>
          <w:r>
            <w:rPr>
              <w:bCs/>
              <w:sz w:val="28"/>
              <w:szCs w:val="28"/>
              <w:lang w:val="zh-CN"/>
            </w:rPr>
            <w:fldChar w:fldCharType="separate"/>
          </w:r>
          <w:r>
            <w:rPr>
              <w:rFonts w:hint="eastAsia" w:eastAsia="方正黑体简体" w:cs="方正黑体简体"/>
              <w:kern w:val="44"/>
              <w:sz w:val="28"/>
              <w:szCs w:val="28"/>
            </w:rPr>
            <w:t>附表3  新增亿元以上重大项目（实施类）</w:t>
          </w:r>
          <w:r>
            <w:rPr>
              <w:sz w:val="28"/>
              <w:szCs w:val="28"/>
            </w:rPr>
            <w:tab/>
          </w:r>
          <w:r>
            <w:rPr>
              <w:sz w:val="28"/>
              <w:szCs w:val="28"/>
            </w:rPr>
            <w:fldChar w:fldCharType="begin"/>
          </w:r>
          <w:r>
            <w:rPr>
              <w:sz w:val="28"/>
              <w:szCs w:val="28"/>
            </w:rPr>
            <w:instrText xml:space="preserve"> PAGEREF _Toc18140 \h </w:instrText>
          </w:r>
          <w:r>
            <w:rPr>
              <w:sz w:val="28"/>
              <w:szCs w:val="28"/>
            </w:rPr>
            <w:fldChar w:fldCharType="separate"/>
          </w:r>
          <w:r>
            <w:rPr>
              <w:sz w:val="28"/>
              <w:szCs w:val="28"/>
            </w:rPr>
            <w:t>47</w:t>
          </w:r>
          <w:r>
            <w:rPr>
              <w:sz w:val="28"/>
              <w:szCs w:val="28"/>
            </w:rPr>
            <w:fldChar w:fldCharType="end"/>
          </w:r>
          <w:r>
            <w:rPr>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pPr>
          <w:r>
            <w:rPr>
              <w:bCs/>
              <w:sz w:val="28"/>
              <w:szCs w:val="28"/>
              <w:lang w:val="zh-CN"/>
            </w:rPr>
            <w:fldChar w:fldCharType="begin"/>
          </w:r>
          <w:r>
            <w:rPr>
              <w:bCs/>
              <w:sz w:val="28"/>
              <w:szCs w:val="28"/>
              <w:lang w:val="zh-CN"/>
            </w:rPr>
            <w:instrText xml:space="preserve"> HYPERLINK \l _Toc17919 </w:instrText>
          </w:r>
          <w:r>
            <w:rPr>
              <w:bCs/>
              <w:sz w:val="28"/>
              <w:szCs w:val="28"/>
              <w:lang w:val="zh-CN"/>
            </w:rPr>
            <w:fldChar w:fldCharType="separate"/>
          </w:r>
          <w:r>
            <w:rPr>
              <w:rFonts w:hint="eastAsia" w:eastAsia="方正黑体简体" w:cs="方正黑体简体"/>
              <w:kern w:val="44"/>
              <w:sz w:val="28"/>
              <w:szCs w:val="28"/>
            </w:rPr>
            <w:t>附表4  开发边界以外项目</w:t>
          </w:r>
          <w:r>
            <w:rPr>
              <w:sz w:val="28"/>
              <w:szCs w:val="28"/>
            </w:rPr>
            <w:tab/>
          </w:r>
          <w:r>
            <w:rPr>
              <w:sz w:val="28"/>
              <w:szCs w:val="28"/>
            </w:rPr>
            <w:fldChar w:fldCharType="begin"/>
          </w:r>
          <w:r>
            <w:rPr>
              <w:sz w:val="28"/>
              <w:szCs w:val="28"/>
            </w:rPr>
            <w:instrText xml:space="preserve"> PAGEREF _Toc17919 \h </w:instrText>
          </w:r>
          <w:r>
            <w:rPr>
              <w:sz w:val="28"/>
              <w:szCs w:val="28"/>
            </w:rPr>
            <w:fldChar w:fldCharType="separate"/>
          </w:r>
          <w:r>
            <w:rPr>
              <w:sz w:val="28"/>
              <w:szCs w:val="28"/>
            </w:rPr>
            <w:t>61</w:t>
          </w:r>
          <w:r>
            <w:rPr>
              <w:sz w:val="28"/>
              <w:szCs w:val="28"/>
            </w:rPr>
            <w:fldChar w:fldCharType="end"/>
          </w:r>
          <w:r>
            <w:rPr>
              <w:bCs/>
              <w:sz w:val="28"/>
              <w:szCs w:val="28"/>
              <w:lang w:val="zh-CN"/>
            </w:rPr>
            <w:fldChar w:fldCharType="end"/>
          </w:r>
        </w:p>
        <w:p>
          <w:pPr>
            <w:spacing w:line="500" w:lineRule="exact"/>
          </w:pPr>
          <w:r>
            <w:rPr>
              <w:bCs/>
              <w:szCs w:val="28"/>
              <w:lang w:val="zh-CN"/>
            </w:rPr>
            <w:fldChar w:fldCharType="end"/>
          </w:r>
        </w:p>
      </w:sdtContent>
    </w:sdt>
    <w:p>
      <w:pPr>
        <w:rPr>
          <w:rFonts w:eastAsia="方正仿宋简体" w:cs="方正仿宋简体"/>
        </w:rPr>
      </w:pPr>
    </w:p>
    <w:p>
      <w:pPr>
        <w:spacing w:line="580" w:lineRule="exact"/>
        <w:ind w:firstLine="640" w:firstLineChars="200"/>
        <w:rPr>
          <w:rFonts w:eastAsia="方正仿宋简体"/>
          <w:color w:val="000000"/>
          <w:sz w:val="32"/>
          <w:szCs w:val="32"/>
        </w:rPr>
        <w:sectPr>
          <w:footerReference r:id="rId5" w:type="default"/>
          <w:pgSz w:w="11906" w:h="16838"/>
          <w:pgMar w:top="1440" w:right="1800" w:bottom="1440" w:left="1800" w:header="851" w:footer="992" w:gutter="0"/>
          <w:pgNumType w:start="1"/>
          <w:cols w:space="720" w:num="1"/>
          <w:docGrid w:type="lines" w:linePitch="312" w:charSpace="0"/>
        </w:sectPr>
      </w:pP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宁波市奉化区国民经济和社会发展第十四个五年规划和二〇三五年远景目标纲要》（以下简称《纲要》）是引领全区开启高质量建设现代化健康美丽新城区新征程的行动纲领。根据《中华人民共和国各级人民代表大会常务委员会监督法》规定，按照国家和省市区工作部署，对《纲要》实施情况进行中期评估。评估期限截至2023年6月。</w:t>
      </w:r>
    </w:p>
    <w:p>
      <w:pPr>
        <w:topLinePunct w:val="0"/>
        <w:snapToGrid/>
        <w:spacing w:before="0" w:after="0" w:line="580" w:lineRule="exact"/>
        <w:ind w:firstLine="640" w:firstLineChars="200"/>
        <w:outlineLvl w:val="9"/>
        <w:rPr>
          <w:rFonts w:hint="eastAsia" w:ascii="黑体" w:hAnsi="黑体" w:eastAsia="黑体" w:cs="黑体"/>
          <w:b w:val="0"/>
          <w:bCs w:val="0"/>
          <w:color w:val="000000"/>
          <w:sz w:val="32"/>
          <w:szCs w:val="32"/>
        </w:rPr>
      </w:pPr>
      <w:bookmarkStart w:id="0" w:name="_Toc23893"/>
      <w:bookmarkStart w:id="1" w:name="_Toc28096"/>
      <w:bookmarkStart w:id="2" w:name="_Toc145087779"/>
      <w:bookmarkStart w:id="3" w:name="_Toc24372"/>
      <w:r>
        <w:rPr>
          <w:rFonts w:hint="eastAsia" w:ascii="黑体" w:hAnsi="黑体" w:eastAsia="黑体" w:cs="黑体"/>
          <w:b w:val="0"/>
          <w:bCs w:val="0"/>
          <w:color w:val="000000"/>
          <w:sz w:val="32"/>
          <w:szCs w:val="32"/>
        </w:rPr>
        <w:t>一、《纲要》指标进展评价</w:t>
      </w:r>
      <w:bookmarkEnd w:id="0"/>
      <w:bookmarkEnd w:id="1"/>
      <w:bookmarkEnd w:id="2"/>
      <w:bookmarkEnd w:id="3"/>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《纲要》确定四大类32项主要指标（预期性指标18个、约束性指标14个），截至2023年6月总体进展顺利，5个指标提前完成、22个指标达到要求、3个指标未达要求、2个指标口径调整。（见附件1）</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提前完成：</w:t>
      </w:r>
      <w:r>
        <w:rPr>
          <w:rFonts w:hint="eastAsia" w:ascii="仿宋_GB2312" w:hAnsi="仿宋_GB2312" w:eastAsia="仿宋_GB2312" w:cs="仿宋_GB2312"/>
          <w:color w:val="000000"/>
          <w:sz w:val="32"/>
          <w:szCs w:val="32"/>
        </w:rPr>
        <w:t>城镇生活垃圾回收利用率、每万老年人拥有执证养老护理员数、地表水达到或好于Ⅲ类水质比例、综合行政执法事项占比、依申请政府服务办件“一网通办”率。</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未达要求：</w:t>
      </w:r>
      <w:r>
        <w:rPr>
          <w:rFonts w:hint="eastAsia" w:ascii="仿宋_GB2312" w:hAnsi="仿宋_GB2312" w:eastAsia="仿宋_GB2312" w:cs="仿宋_GB2312"/>
          <w:color w:val="000000"/>
          <w:sz w:val="32"/>
          <w:szCs w:val="32"/>
        </w:rPr>
        <w:t>R＆D经费支出占GDP比重、数字经济核心产业增加值占GDP比重、常住人口城镇化率。</w:t>
      </w:r>
    </w:p>
    <w:p>
      <w:pPr>
        <w:spacing w:line="580" w:lineRule="exact"/>
        <w:ind w:firstLine="643" w:firstLineChars="200"/>
        <w:rPr>
          <w:rFonts w:eastAsia="方正仿宋简体"/>
          <w:color w:val="000000"/>
          <w:sz w:val="32"/>
          <w:szCs w:val="32"/>
        </w:rPr>
      </w:pPr>
      <w:r>
        <w:rPr>
          <w:rFonts w:hint="eastAsia" w:ascii="仿宋_GB2312" w:hAnsi="仿宋_GB2312" w:eastAsia="仿宋_GB2312" w:cs="仿宋_GB2312"/>
          <w:b/>
          <w:bCs/>
          <w:color w:val="000000"/>
          <w:sz w:val="32"/>
          <w:szCs w:val="32"/>
        </w:rPr>
        <w:t>口径调整：</w:t>
      </w:r>
      <w:r>
        <w:rPr>
          <w:rFonts w:hint="eastAsia" w:ascii="仿宋_GB2312" w:hAnsi="仿宋_GB2312" w:eastAsia="仿宋_GB2312" w:cs="仿宋_GB2312"/>
          <w:color w:val="000000"/>
          <w:sz w:val="32"/>
          <w:szCs w:val="32"/>
        </w:rPr>
        <w:t>森林覆盖率、人均体育场地面积。</w:t>
      </w:r>
    </w:p>
    <w:p>
      <w:pPr>
        <w:spacing w:line="580" w:lineRule="exact"/>
        <w:ind w:firstLine="640" w:firstLineChars="200"/>
        <w:outlineLvl w:val="9"/>
        <w:rPr>
          <w:rFonts w:hint="eastAsia" w:ascii="楷体_GB2312" w:hAnsi="楷体_GB2312" w:eastAsia="楷体_GB2312" w:cs="楷体_GB2312"/>
          <w:color w:val="000000"/>
          <w:sz w:val="32"/>
          <w:szCs w:val="32"/>
        </w:rPr>
      </w:pPr>
      <w:bookmarkStart w:id="4" w:name="_Toc734"/>
      <w:bookmarkStart w:id="5" w:name="_Toc31092"/>
      <w:bookmarkStart w:id="6" w:name="_Toc9041"/>
      <w:r>
        <w:rPr>
          <w:rFonts w:hint="eastAsia" w:ascii="楷体_GB2312" w:hAnsi="楷体_GB2312" w:eastAsia="楷体_GB2312" w:cs="楷体_GB2312"/>
          <w:color w:val="000000"/>
          <w:sz w:val="32"/>
          <w:szCs w:val="32"/>
        </w:rPr>
        <w:t>（一）分领域指标进展评价</w:t>
      </w:r>
      <w:bookmarkEnd w:id="4"/>
      <w:bookmarkEnd w:id="5"/>
      <w:bookmarkEnd w:id="6"/>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 质效提升领域。</w:t>
      </w:r>
      <w:r>
        <w:rPr>
          <w:rFonts w:hint="eastAsia" w:ascii="仿宋_GB2312" w:hAnsi="仿宋_GB2312" w:eastAsia="仿宋_GB2312" w:cs="仿宋_GB2312"/>
          <w:color w:val="000000"/>
          <w:sz w:val="32"/>
          <w:szCs w:val="32"/>
        </w:rPr>
        <w:t>共涉及7项指标。地区生产总值连续攀升3个百亿台阶，2022年地区生产总值达到907亿元，2023年上半年达到454.2亿元，全年冲刺千亿大关。全员劳动生产率显著提升，2022年达到26.4万元/人，较2020年累计增加8.7万元/人，位居全市前列。对外贸易承压前行，2022年货物和服务贸易总额305亿元、实际利用外资1.2亿美元。人才资源总量实现跨越突破，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上半年突破20万人</w:t>
      </w:r>
      <w:r>
        <w:rPr>
          <w:rFonts w:hint="eastAsia" w:ascii="仿宋_GB2312" w:hAnsi="仿宋_GB2312" w:eastAsia="仿宋_GB2312" w:cs="仿宋_GB2312"/>
          <w:color w:val="000000"/>
          <w:sz w:val="32"/>
          <w:szCs w:val="32"/>
        </w:rPr>
        <w:t>。规上工业企业营业收入利润率受疫情及市场供需影响明显，2023年上半年达到7%，基本达到规划要求。</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 结构优化领域。</w:t>
      </w:r>
      <w:r>
        <w:rPr>
          <w:rFonts w:hint="eastAsia" w:ascii="仿宋_GB2312" w:hAnsi="仿宋_GB2312" w:eastAsia="仿宋_GB2312" w:cs="仿宋_GB2312"/>
          <w:color w:val="000000"/>
          <w:sz w:val="32"/>
          <w:szCs w:val="32"/>
        </w:rPr>
        <w:t>共涉及5项指标，其中2项指标进度滞后、3项指标基本达到要求。创新技术产业发展势头较好，2022年高新技术产业增加值占规上增加值比重28.1%。现代服务业发展稳步提升，2022年现代服务业增加值占服务业增加值比重为34.3%，较2020年提高4.3个百分点。创新投入连年加大，2022年R&amp;D经费支出占GDP比重2.26%，但受制于产业结构影响，全市排名靠后。数字经济发展有待提升，2022年数字经济核心产业增加值占GDP比重为4.5%，低于全市平均。</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 绿色发展领域。</w:t>
      </w:r>
      <w:r>
        <w:rPr>
          <w:rFonts w:hint="eastAsia" w:ascii="仿宋_GB2312" w:hAnsi="仿宋_GB2312" w:eastAsia="仿宋_GB2312" w:cs="仿宋_GB2312"/>
          <w:color w:val="000000"/>
          <w:sz w:val="32"/>
          <w:szCs w:val="32"/>
        </w:rPr>
        <w:t>共涉及9项指标，其中1项指标口径调整。生态环境治理成效显著，2022年地表水达到或好于Ⅲ类水质比例达到100%、空气质量优良天数比率达到92.9%、万元GDP用水量降幅达到26.06%、城镇生活垃圾回收利用率达到70%，均达到市级考核要求。节能减排持续发力，2022年单位GDP能耗降幅达到0.71%、2023年上半年达到5.1%，能耗强度绝对值远低于全市平均水平。</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 协调共享领域。</w:t>
      </w:r>
      <w:r>
        <w:rPr>
          <w:rFonts w:hint="eastAsia" w:ascii="仿宋_GB2312" w:hAnsi="仿宋_GB2312" w:eastAsia="仿宋_GB2312" w:cs="仿宋_GB2312"/>
          <w:color w:val="000000"/>
          <w:sz w:val="32"/>
          <w:szCs w:val="32"/>
        </w:rPr>
        <w:t>共涉及11项指标，其中1项指标进度滞后、1项指标口径调整。公共服务扩容提质，截至2023年6月底，每万老年人拥有执证养老护理员数达到30人、每千人拥有3岁以下婴幼儿照护设施托位数</w:t>
      </w:r>
      <w:r>
        <w:rPr>
          <w:rFonts w:hint="eastAsia" w:ascii="仿宋_GB2312" w:hAnsi="仿宋_GB2312" w:eastAsia="仿宋_GB2312" w:cs="仿宋_GB2312"/>
          <w:color w:val="000000"/>
          <w:sz w:val="32"/>
          <w:szCs w:val="32"/>
          <w:lang w:val="en-US" w:eastAsia="zh-CN"/>
        </w:rPr>
        <w:t>3.89</w:t>
      </w:r>
      <w:r>
        <w:rPr>
          <w:rFonts w:hint="eastAsia" w:ascii="仿宋_GB2312" w:hAnsi="仿宋_GB2312" w:eastAsia="仿宋_GB2312" w:cs="仿宋_GB2312"/>
          <w:color w:val="000000"/>
          <w:sz w:val="32"/>
          <w:szCs w:val="32"/>
        </w:rPr>
        <w:t>个，达到全市平均水平。居民收入稳步增长，2023年上半年城镇新增就业人数4.55万人，居民人均可支配收入增幅连续两年全市第一。社会治理成效明显，今年上半年，综合行政执法事项占比达25%、依申请政府服务办件“一网通办”率达到99.73%，提前完成规划目标。</w:t>
      </w:r>
    </w:p>
    <w:p>
      <w:pPr>
        <w:spacing w:line="580" w:lineRule="exact"/>
        <w:ind w:firstLine="640" w:firstLineChars="200"/>
        <w:outlineLvl w:val="9"/>
        <w:rPr>
          <w:rFonts w:hint="eastAsia" w:ascii="楷体_GB2312" w:hAnsi="楷体_GB2312" w:eastAsia="楷体_GB2312" w:cs="楷体_GB2312"/>
          <w:color w:val="000000"/>
          <w:sz w:val="32"/>
          <w:szCs w:val="32"/>
        </w:rPr>
      </w:pPr>
      <w:bookmarkStart w:id="7" w:name="_Toc8550"/>
      <w:bookmarkStart w:id="8" w:name="_Toc5343"/>
      <w:bookmarkStart w:id="9" w:name="_Toc5344"/>
      <w:r>
        <w:rPr>
          <w:rFonts w:hint="eastAsia" w:ascii="楷体_GB2312" w:hAnsi="楷体_GB2312" w:eastAsia="楷体_GB2312" w:cs="楷体_GB2312"/>
          <w:color w:val="000000"/>
          <w:sz w:val="32"/>
          <w:szCs w:val="32"/>
        </w:rPr>
        <w:t>（二）未达要求指标说明</w:t>
      </w:r>
      <w:bookmarkEnd w:id="7"/>
      <w:bookmarkEnd w:id="8"/>
      <w:bookmarkEnd w:id="9"/>
    </w:p>
    <w:p>
      <w:pPr>
        <w:spacing w:line="580" w:lineRule="exact"/>
        <w:ind w:firstLine="643" w:firstLineChars="200"/>
        <w:rPr>
          <w:rFonts w:hint="eastAsia" w:ascii="仿宋_GB2312" w:hAnsi="仿宋_GB2312" w:eastAsia="仿宋_GB2312" w:cs="仿宋_GB2312"/>
          <w:color w:val="000000"/>
          <w:sz w:val="32"/>
          <w:szCs w:val="32"/>
          <w:highlight w:val="yellow"/>
        </w:rPr>
      </w:pPr>
      <w:r>
        <w:rPr>
          <w:rFonts w:hint="eastAsia" w:ascii="仿宋_GB2312" w:hAnsi="仿宋_GB2312" w:eastAsia="仿宋_GB2312" w:cs="仿宋_GB2312"/>
          <w:b/>
          <w:bCs/>
          <w:color w:val="000000"/>
          <w:sz w:val="32"/>
          <w:szCs w:val="32"/>
        </w:rPr>
        <w:t>1. R&amp;D</w:t>
      </w:r>
      <w:r>
        <w:rPr>
          <w:rFonts w:hint="eastAsia" w:ascii="仿宋_GB2312" w:hAnsi="仿宋_GB2312" w:eastAsia="仿宋_GB2312" w:cs="仿宋_GB2312"/>
          <w:b/>
          <w:bCs/>
          <w:color w:val="000000"/>
          <w:sz w:val="32"/>
          <w:szCs w:val="32"/>
          <w:lang w:val="en-US" w:eastAsia="zh-CN"/>
        </w:rPr>
        <w:t>经费</w:t>
      </w:r>
      <w:r>
        <w:rPr>
          <w:rFonts w:hint="eastAsia" w:ascii="仿宋_GB2312" w:hAnsi="仿宋_GB2312" w:eastAsia="仿宋_GB2312" w:cs="仿宋_GB2312"/>
          <w:b/>
          <w:bCs/>
          <w:color w:val="000000"/>
          <w:sz w:val="32"/>
          <w:szCs w:val="32"/>
        </w:rPr>
        <w:t>支出占GDP比重。</w:t>
      </w:r>
      <w:r>
        <w:rPr>
          <w:rFonts w:hint="eastAsia" w:ascii="仿宋_GB2312" w:hAnsi="仿宋_GB2312" w:eastAsia="仿宋_GB2312" w:cs="仿宋_GB2312"/>
          <w:color w:val="000000"/>
          <w:sz w:val="32"/>
          <w:szCs w:val="32"/>
        </w:rPr>
        <w:t>2022年全区R&amp;D</w:t>
      </w:r>
      <w:r>
        <w:rPr>
          <w:rFonts w:hint="eastAsia" w:ascii="仿宋_GB2312" w:hAnsi="仿宋_GB2312" w:eastAsia="仿宋_GB2312" w:cs="仿宋_GB2312"/>
          <w:color w:val="000000"/>
          <w:sz w:val="32"/>
          <w:szCs w:val="32"/>
          <w:lang w:val="en-US" w:eastAsia="zh-CN"/>
        </w:rPr>
        <w:t>经费</w:t>
      </w:r>
      <w:r>
        <w:rPr>
          <w:rFonts w:hint="eastAsia" w:ascii="仿宋_GB2312" w:hAnsi="仿宋_GB2312" w:eastAsia="仿宋_GB2312" w:cs="仿宋_GB2312"/>
          <w:color w:val="000000"/>
          <w:sz w:val="32"/>
          <w:szCs w:val="32"/>
        </w:rPr>
        <w:t>支出20.5亿元，占GDP比重为2.26%；2023年全年预计占比约为2.3%。预计“十四五”期末达到3%，完成《纲要》提出的3.6%目标难度较大。</w:t>
      </w:r>
      <w:r>
        <w:rPr>
          <w:rFonts w:hint="eastAsia" w:ascii="仿宋_GB2312" w:hAnsi="仿宋_GB2312" w:eastAsia="仿宋_GB2312" w:cs="仿宋_GB2312"/>
          <w:b/>
          <w:bCs/>
          <w:color w:val="000000"/>
          <w:sz w:val="32"/>
          <w:szCs w:val="32"/>
        </w:rPr>
        <w:t>存在问题及原因分析</w:t>
      </w:r>
      <w:r>
        <w:rPr>
          <w:rFonts w:hint="eastAsia" w:ascii="仿宋_GB2312" w:hAnsi="仿宋_GB2312" w:eastAsia="仿宋_GB2312" w:cs="仿宋_GB2312"/>
          <w:color w:val="000000"/>
          <w:sz w:val="32"/>
          <w:szCs w:val="32"/>
        </w:rPr>
        <w:t>：一是中烟影响，中烟增加值占全区GDP总量</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分之一，但研发投入仅占全区研发总量的1.5%，对全区研发投入的贡献占比较低；二是经济形势影响，市场环境和经济形势下行，部分重点企业产值下滑，创新投入的风险和压力进一步增强，部分企业研发投入信心不足，存在“不想投、不敢投”的现象；三是产业结构待优化，全区纺织服装、铸造等传统加工型企业占比仍然不低，全区723家规上企业中40%的企业无研发投入，一定程度上拉低了全区研发支出。</w:t>
      </w:r>
      <w:r>
        <w:rPr>
          <w:rFonts w:hint="eastAsia" w:ascii="仿宋_GB2312" w:hAnsi="仿宋_GB2312" w:eastAsia="仿宋_GB2312" w:cs="仿宋_GB2312"/>
          <w:b/>
          <w:bCs/>
          <w:color w:val="000000"/>
          <w:sz w:val="32"/>
          <w:szCs w:val="32"/>
        </w:rPr>
        <w:t>下步举措</w:t>
      </w:r>
      <w:r>
        <w:rPr>
          <w:rFonts w:hint="eastAsia" w:ascii="仿宋_GB2312" w:hAnsi="仿宋_GB2312" w:eastAsia="仿宋_GB2312" w:cs="仿宋_GB2312"/>
          <w:color w:val="000000"/>
          <w:sz w:val="32"/>
          <w:szCs w:val="32"/>
        </w:rPr>
        <w:t>：落实国家和省鼓励企业研发政策，进一步提高对高企认定和企业研发投入的奖补力度，引导企业加大科技创新投入；持续开展入企服务，加强无研发企业的诊断与辅导，有针对性解决企业困难，调动企业科研投入积极性；完善高新技术企业梯度培育库，深入企业开展高新技术企业培育指导服务。</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 常住人口城镇化率。</w:t>
      </w:r>
      <w:r>
        <w:rPr>
          <w:rFonts w:hint="eastAsia" w:ascii="仿宋_GB2312" w:hAnsi="仿宋_GB2312" w:eastAsia="仿宋_GB2312" w:cs="仿宋_GB2312"/>
          <w:color w:val="000000"/>
          <w:sz w:val="32"/>
          <w:szCs w:val="32"/>
        </w:rPr>
        <w:t>2022年常住人口城镇化率为61.2%，2020—2022年年均增长2.1个百分点，未达到年均2.6个百分点的目标。预计“十四五”期末达到65%，与《纲要》提出的70%目标存在较大差距。</w:t>
      </w:r>
      <w:r>
        <w:rPr>
          <w:rFonts w:hint="eastAsia" w:ascii="仿宋_GB2312" w:hAnsi="仿宋_GB2312" w:eastAsia="仿宋_GB2312" w:cs="仿宋_GB2312"/>
          <w:b/>
          <w:bCs/>
          <w:color w:val="000000"/>
          <w:sz w:val="32"/>
          <w:szCs w:val="32"/>
        </w:rPr>
        <w:t>存在问题及原因分析：</w:t>
      </w:r>
      <w:r>
        <w:rPr>
          <w:rFonts w:hint="eastAsia" w:ascii="仿宋_GB2312" w:hAnsi="仿宋_GB2312" w:eastAsia="仿宋_GB2312" w:cs="仿宋_GB2312"/>
          <w:color w:val="000000"/>
          <w:sz w:val="32"/>
          <w:szCs w:val="32"/>
        </w:rPr>
        <w:t>一是外来人口导入存在困难，受制于奉化城市建设能级及区位条件等因素影响，即便拥有全大市最优惠的人才政策，外来人口在奉落户的体量仍然相对较少；二是得益于共同富裕、乡村振兴等战略深入推进，农村居民增收渠道不断拓宽，城乡居民收入倍差全市最小，农民进城落户动力不足。</w:t>
      </w:r>
      <w:r>
        <w:rPr>
          <w:rFonts w:hint="eastAsia" w:ascii="仿宋_GB2312" w:hAnsi="仿宋_GB2312" w:eastAsia="仿宋_GB2312" w:cs="仿宋_GB2312"/>
          <w:b/>
          <w:bCs/>
          <w:color w:val="000000"/>
          <w:sz w:val="32"/>
          <w:szCs w:val="32"/>
        </w:rPr>
        <w:t>下步举措：</w:t>
      </w:r>
      <w:r>
        <w:rPr>
          <w:rFonts w:hint="eastAsia" w:ascii="仿宋_GB2312" w:hAnsi="仿宋_GB2312" w:eastAsia="仿宋_GB2312" w:cs="仿宋_GB2312"/>
          <w:color w:val="000000"/>
          <w:sz w:val="32"/>
          <w:szCs w:val="32"/>
        </w:rPr>
        <w:t>着力完善农业转移人口市民化配套政策体系，推动落实常住地提供基本公共服务制度，聚焦外来人口关注的医疗、教育、住房等基本公共服务，按照常住人口配置布局，如积极扩大</w:t>
      </w:r>
      <w:r>
        <w:rPr>
          <w:rFonts w:hint="eastAsia" w:ascii="仿宋_GB2312" w:hAnsi="仿宋_GB2312" w:eastAsia="仿宋_GB2312" w:cs="仿宋_GB2312"/>
          <w:color w:val="000000"/>
          <w:spacing w:val="6"/>
          <w:sz w:val="32"/>
          <w:szCs w:val="32"/>
        </w:rPr>
        <w:t>公办学位资源，落实以居住证为主要依据的随迁子女入学政策；切实维护进城落户农民的合法权益，依法保障进城落</w:t>
      </w:r>
      <w:r>
        <w:rPr>
          <w:rFonts w:hint="eastAsia" w:ascii="仿宋_GB2312" w:hAnsi="仿宋_GB2312" w:eastAsia="仿宋_GB2312" w:cs="仿宋_GB2312"/>
          <w:color w:val="000000"/>
          <w:sz w:val="32"/>
          <w:szCs w:val="32"/>
        </w:rPr>
        <w:t>户农民的农村土地承包权、宅基地使用权、集体收益分配权，让农业转移人口“愿落户”。</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 数字经济核心产业增加值占GDP比重。</w:t>
      </w:r>
      <w:r>
        <w:rPr>
          <w:rFonts w:hint="eastAsia" w:ascii="仿宋_GB2312" w:hAnsi="仿宋_GB2312" w:eastAsia="仿宋_GB2312" w:cs="仿宋_GB2312"/>
          <w:color w:val="000000"/>
          <w:sz w:val="32"/>
          <w:szCs w:val="32"/>
        </w:rPr>
        <w:t>2022年全区数字经济核心产业增加值41亿元，占GDP比重为4.5%，相较于2020年，两年累计仅提高1.1个百分点。预计“十四五”期末达到9%，与《纲要》提出的11%目标还有一定差距。</w:t>
      </w:r>
      <w:r>
        <w:rPr>
          <w:rFonts w:hint="eastAsia" w:ascii="仿宋_GB2312" w:hAnsi="仿宋_GB2312" w:eastAsia="仿宋_GB2312" w:cs="仿宋_GB2312"/>
          <w:b/>
          <w:bCs/>
          <w:color w:val="000000"/>
          <w:sz w:val="32"/>
          <w:szCs w:val="32"/>
        </w:rPr>
        <w:t>存在问题及原因分析：</w:t>
      </w:r>
      <w:r>
        <w:rPr>
          <w:rFonts w:hint="eastAsia" w:ascii="仿宋_GB2312" w:hAnsi="仿宋_GB2312" w:eastAsia="仿宋_GB2312" w:cs="仿宋_GB2312"/>
          <w:color w:val="000000"/>
          <w:sz w:val="32"/>
          <w:szCs w:val="32"/>
        </w:rPr>
        <w:t>一是数字经济核心产业标准认定调整。国家统计局于2021年5月14日发布《数字经济及其核心产业统计分类（2021）》，对数字经济核心产业范围进行</w:t>
      </w:r>
      <w:r>
        <w:rPr>
          <w:rFonts w:hint="eastAsia" w:ascii="仿宋_GB2312" w:hAnsi="仿宋_GB2312" w:eastAsia="仿宋_GB2312" w:cs="仿宋_GB2312"/>
          <w:color w:val="000000"/>
          <w:sz w:val="32"/>
          <w:szCs w:val="32"/>
          <w:lang w:val="en-US" w:eastAsia="zh-CN"/>
        </w:rPr>
        <w:t>了调整</w:t>
      </w:r>
      <w:r>
        <w:rPr>
          <w:rFonts w:hint="eastAsia" w:ascii="仿宋_GB2312" w:hAnsi="仿宋_GB2312" w:eastAsia="仿宋_GB2312" w:cs="仿宋_GB2312"/>
          <w:color w:val="000000"/>
          <w:sz w:val="32"/>
          <w:szCs w:val="32"/>
        </w:rPr>
        <w:t>，剔除了</w:t>
      </w:r>
      <w:r>
        <w:rPr>
          <w:rFonts w:hint="eastAsia" w:ascii="仿宋_GB2312" w:hAnsi="仿宋_GB2312" w:eastAsia="仿宋_GB2312" w:cs="仿宋_GB2312"/>
          <w:color w:val="000000"/>
          <w:sz w:val="32"/>
          <w:szCs w:val="32"/>
          <w:lang w:val="en-US" w:eastAsia="zh-CN"/>
        </w:rPr>
        <w:t>新能源电池、微型伺服电机两个</w:t>
      </w:r>
      <w:r>
        <w:rPr>
          <w:rFonts w:hint="eastAsia" w:ascii="仿宋_GB2312" w:hAnsi="仿宋_GB2312" w:eastAsia="仿宋_GB2312" w:cs="仿宋_GB2312"/>
          <w:color w:val="000000"/>
          <w:sz w:val="32"/>
          <w:szCs w:val="32"/>
        </w:rPr>
        <w:t>门类，相较于《纲要》设置目标时的核定方法，核心产业门类收缩，导致目标更难达成。二是核心产业整体规模偏小。奉化区以气动、汽配等传统产业为主，2022年数字经济核心制造业和服务业仅占全区规上制造业、服务业营收的12%；现有的核心数字龙头企业、重点行业产值下降明显，如磁性材料行业上半年产值下降30%，拉低行业产值增速6个百分点。</w:t>
      </w:r>
      <w:r>
        <w:rPr>
          <w:rFonts w:hint="eastAsia" w:ascii="仿宋_GB2312" w:hAnsi="仿宋_GB2312" w:eastAsia="仿宋_GB2312" w:cs="仿宋_GB2312"/>
          <w:b/>
          <w:bCs/>
          <w:color w:val="000000"/>
          <w:sz w:val="32"/>
          <w:szCs w:val="32"/>
        </w:rPr>
        <w:t>下步举措：</w:t>
      </w:r>
      <w:r>
        <w:rPr>
          <w:rFonts w:hint="eastAsia" w:ascii="仿宋_GB2312" w:hAnsi="仿宋_GB2312" w:eastAsia="仿宋_GB2312" w:cs="仿宋_GB2312"/>
          <w:color w:val="000000"/>
          <w:sz w:val="32"/>
          <w:szCs w:val="32"/>
        </w:rPr>
        <w:t>以科创平台促进数字经济核心产业集聚发展，完善“众创空间+孵化器+加速器+产业园”孵化链条，加快推进数字渔业产业园、波导卫星通信科创园等平台建设；积极引培数字经济</w:t>
      </w:r>
      <w:r>
        <w:rPr>
          <w:rFonts w:hint="eastAsia" w:ascii="仿宋_GB2312" w:hAnsi="仿宋_GB2312" w:eastAsia="仿宋_GB2312" w:cs="仿宋_GB2312"/>
          <w:color w:val="000000"/>
          <w:sz w:val="32"/>
          <w:szCs w:val="32"/>
          <w:lang w:eastAsia="zh-CN"/>
        </w:rPr>
        <w:t>产业集群</w:t>
      </w:r>
      <w:r>
        <w:rPr>
          <w:rFonts w:hint="eastAsia" w:ascii="仿宋_GB2312" w:hAnsi="仿宋_GB2312" w:eastAsia="仿宋_GB2312" w:cs="仿宋_GB2312"/>
          <w:color w:val="000000"/>
          <w:sz w:val="32"/>
          <w:szCs w:val="32"/>
        </w:rPr>
        <w:t>，及时梳理重点数字企业、创新平台、招商引资等项目清单，加强潜在项目对接服务；加紧布局面向未来的数字核心产业新业态，加大对数字技术产业研发和应用的补助力度，对符合条件的数字产业项目给予一定的资源倾斜。</w:t>
      </w:r>
    </w:p>
    <w:p>
      <w:pPr>
        <w:spacing w:line="580" w:lineRule="exact"/>
        <w:ind w:firstLine="640" w:firstLineChars="200"/>
        <w:outlineLvl w:val="9"/>
        <w:rPr>
          <w:rFonts w:hint="eastAsia" w:ascii="楷体_GB2312" w:hAnsi="楷体_GB2312" w:eastAsia="楷体_GB2312" w:cs="楷体_GB2312"/>
          <w:color w:val="000000"/>
          <w:sz w:val="32"/>
          <w:szCs w:val="32"/>
        </w:rPr>
      </w:pPr>
      <w:bookmarkStart w:id="10" w:name="_Toc21140"/>
      <w:bookmarkStart w:id="11" w:name="_Toc9838"/>
      <w:bookmarkStart w:id="12" w:name="_Toc2493"/>
      <w:r>
        <w:rPr>
          <w:rFonts w:hint="eastAsia" w:ascii="楷体_GB2312" w:hAnsi="楷体_GB2312" w:eastAsia="楷体_GB2312" w:cs="楷体_GB2312"/>
          <w:color w:val="000000"/>
          <w:sz w:val="32"/>
          <w:szCs w:val="32"/>
        </w:rPr>
        <w:t>（三）口径调整指标说明</w:t>
      </w:r>
      <w:bookmarkEnd w:id="10"/>
      <w:bookmarkEnd w:id="11"/>
      <w:bookmarkEnd w:id="12"/>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 森林覆盖率。</w:t>
      </w:r>
      <w:r>
        <w:rPr>
          <w:rFonts w:hint="eastAsia" w:ascii="仿宋_GB2312" w:hAnsi="仿宋_GB2312" w:eastAsia="仿宋_GB2312" w:cs="仿宋_GB2312"/>
          <w:color w:val="000000"/>
          <w:sz w:val="32"/>
          <w:szCs w:val="32"/>
        </w:rPr>
        <w:t>造成森林覆盖率指标大幅变动主要有两方面原因。一是国土面积调整。森林覆盖率是指森林面积占土地总面积的比率。森林资源调查与国土“三调”融合之前，奉化区森林资源监测采用的土地总面积为185.6万亩，而融合以后采用的是“国土三调”面积191.7万亩。同等森林面积情况下，土地总面积增加造成森林覆盖率下降。二是统计口径变化。2022年省林业局公布奉化区国家口径森林覆盖率为58.48%、浙江省口径森林覆盖率为64.95%，2023年开始统一以国家口径公布森林覆盖率。奉化区2025年森林覆盖率目标值调整为58.48%（原目标值为65.04%）。因计算森林覆盖率的主要参数、统计口径发生重大变化，已难以按原规划目标进行准确评估。</w:t>
      </w:r>
    </w:p>
    <w:p>
      <w:pPr>
        <w:topLinePunct w:val="0"/>
        <w:snapToGrid/>
        <w:spacing w:line="580" w:lineRule="exact"/>
        <w:ind w:firstLine="643" w:firstLineChars="200"/>
        <w:jc w:val="both"/>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 人均体育场地面积。</w:t>
      </w:r>
      <w:r>
        <w:rPr>
          <w:rFonts w:hint="eastAsia" w:ascii="仿宋_GB2312" w:hAnsi="仿宋_GB2312" w:eastAsia="仿宋_GB2312" w:cs="仿宋_GB2312"/>
          <w:color w:val="000000"/>
          <w:sz w:val="32"/>
          <w:szCs w:val="32"/>
        </w:rPr>
        <w:t>2020年《纲要》编制时，按当年常住人口计算，人均面积为4.37平方米。2020年11月七普启动后人口基数调整，该指标于2021年底核算后降至3.96平方米，此后均按七普调整后的口径计算人均场地面积，前后口径差距较大，难以科学对比评估。</w:t>
      </w:r>
      <w:bookmarkStart w:id="13" w:name="_Toc145087780"/>
      <w:bookmarkStart w:id="14" w:name="_Toc3509"/>
      <w:bookmarkStart w:id="15" w:name="_Toc8005"/>
    </w:p>
    <w:bookmarkEnd w:id="13"/>
    <w:bookmarkEnd w:id="14"/>
    <w:bookmarkEnd w:id="15"/>
    <w:p>
      <w:pPr>
        <w:topLinePunct w:val="0"/>
        <w:snapToGrid/>
        <w:spacing w:before="0" w:after="0" w:line="580" w:lineRule="exact"/>
        <w:ind w:firstLine="640" w:firstLineChars="200"/>
        <w:outlineLvl w:val="9"/>
        <w:rPr>
          <w:rFonts w:hint="eastAsia" w:ascii="黑体" w:hAnsi="黑体" w:eastAsia="黑体" w:cs="黑体"/>
          <w:sz w:val="32"/>
          <w:szCs w:val="32"/>
        </w:rPr>
      </w:pPr>
      <w:bookmarkStart w:id="16" w:name="_Toc10798"/>
      <w:r>
        <w:rPr>
          <w:rFonts w:hint="eastAsia" w:ascii="黑体" w:hAnsi="黑体" w:eastAsia="黑体" w:cs="黑体"/>
          <w:b w:val="0"/>
          <w:bCs w:val="0"/>
          <w:sz w:val="32"/>
          <w:szCs w:val="32"/>
        </w:rPr>
        <w:t>二、《纲要》任务完成情况</w:t>
      </w:r>
      <w:bookmarkEnd w:id="16"/>
    </w:p>
    <w:p>
      <w:pPr>
        <w:spacing w:line="580" w:lineRule="exact"/>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“十四五”以来，面对复杂严峻的外部形势和新冠疫情</w:t>
      </w:r>
      <w:r>
        <w:rPr>
          <w:rFonts w:hint="eastAsia" w:ascii="仿宋_GB2312" w:hAnsi="仿宋_GB2312" w:eastAsia="仿宋_GB2312" w:cs="仿宋_GB2312"/>
          <w:color w:val="000000"/>
          <w:spacing w:val="6"/>
          <w:sz w:val="32"/>
          <w:szCs w:val="32"/>
        </w:rPr>
        <w:t>严重冲击，围绕建设现代化滨海大都市健康美丽新城区的总</w:t>
      </w:r>
      <w:r>
        <w:rPr>
          <w:rFonts w:hint="eastAsia" w:ascii="仿宋_GB2312" w:hAnsi="仿宋_GB2312" w:eastAsia="仿宋_GB2312" w:cs="仿宋_GB2312"/>
          <w:color w:val="000000"/>
          <w:sz w:val="32"/>
          <w:szCs w:val="32"/>
        </w:rPr>
        <w:t>体目标，全区上下克难攻坚、积极应对，坚持“跨越发展、二轮攀高”，在“新奉化”的蓝图上续写追赶跨越的奋斗篇章，2022年奉化区在全国综合实力百</w:t>
      </w:r>
      <w:r>
        <w:rPr>
          <w:rFonts w:hint="eastAsia" w:ascii="仿宋_GB2312" w:hAnsi="仿宋_GB2312" w:eastAsia="仿宋_GB2312" w:cs="仿宋_GB2312"/>
          <w:color w:val="000000"/>
          <w:spacing w:val="11"/>
          <w:sz w:val="32"/>
          <w:szCs w:val="32"/>
        </w:rPr>
        <w:t>强区排名上升至第70位，经济</w:t>
      </w:r>
      <w:r>
        <w:rPr>
          <w:rFonts w:hint="eastAsia" w:ascii="仿宋_GB2312" w:hAnsi="仿宋_GB2312" w:eastAsia="仿宋_GB2312" w:cs="仿宋_GB2312"/>
          <w:color w:val="000000"/>
          <w:spacing w:val="0"/>
          <w:sz w:val="32"/>
          <w:szCs w:val="32"/>
        </w:rPr>
        <w:t>总量</w:t>
      </w:r>
      <w:r>
        <w:rPr>
          <w:rFonts w:hint="eastAsia" w:ascii="仿宋_GB2312" w:hAnsi="仿宋_GB2312" w:eastAsia="仿宋_GB2312" w:cs="仿宋_GB2312"/>
          <w:color w:val="000000"/>
          <w:spacing w:val="11"/>
          <w:sz w:val="32"/>
          <w:szCs w:val="32"/>
        </w:rPr>
        <w:t>全省排名上升至第29位</w:t>
      </w:r>
      <w:r>
        <w:rPr>
          <w:rFonts w:hint="eastAsia" w:ascii="仿宋_GB2312" w:hAnsi="仿宋_GB2312" w:eastAsia="仿宋_GB2312" w:cs="仿宋_GB2312"/>
          <w:color w:val="000000"/>
          <w:sz w:val="32"/>
          <w:szCs w:val="32"/>
        </w:rPr>
        <w:t>。</w:t>
      </w:r>
    </w:p>
    <w:p>
      <w:pPr>
        <w:spacing w:line="580" w:lineRule="exact"/>
        <w:ind w:firstLine="640" w:firstLineChars="200"/>
        <w:outlineLvl w:val="9"/>
        <w:rPr>
          <w:rFonts w:hint="eastAsia" w:ascii="楷体_GB2312" w:hAnsi="楷体_GB2312" w:eastAsia="楷体_GB2312" w:cs="楷体_GB2312"/>
          <w:color w:val="000000"/>
          <w:sz w:val="32"/>
          <w:szCs w:val="32"/>
        </w:rPr>
      </w:pPr>
      <w:bookmarkStart w:id="17" w:name="_Toc28512"/>
      <w:bookmarkStart w:id="18" w:name="_Toc28805"/>
      <w:bookmarkStart w:id="19" w:name="_Toc19371"/>
      <w:r>
        <w:rPr>
          <w:rFonts w:hint="eastAsia" w:ascii="楷体_GB2312" w:hAnsi="楷体_GB2312" w:eastAsia="楷体_GB2312" w:cs="楷体_GB2312"/>
          <w:color w:val="000000"/>
          <w:sz w:val="32"/>
          <w:szCs w:val="32"/>
        </w:rPr>
        <w:t>（一）重</w:t>
      </w:r>
      <w:r>
        <w:rPr>
          <w:rFonts w:hint="eastAsia" w:ascii="楷体_GB2312" w:hAnsi="楷体_GB2312" w:eastAsia="楷体_GB2312" w:cs="楷体_GB2312"/>
          <w:color w:val="000000"/>
          <w:sz w:val="32"/>
          <w:szCs w:val="32"/>
          <w:lang w:val="en-US" w:eastAsia="zh-CN"/>
        </w:rPr>
        <w:t>大</w:t>
      </w:r>
      <w:r>
        <w:rPr>
          <w:rFonts w:hint="eastAsia" w:ascii="楷体_GB2312" w:hAnsi="楷体_GB2312" w:eastAsia="楷体_GB2312" w:cs="楷体_GB2312"/>
          <w:color w:val="000000"/>
          <w:sz w:val="32"/>
          <w:szCs w:val="32"/>
        </w:rPr>
        <w:t>任务稳步实施</w:t>
      </w:r>
      <w:bookmarkEnd w:id="17"/>
      <w:bookmarkEnd w:id="18"/>
      <w:bookmarkEnd w:id="19"/>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 综合经济实力再度提升，产业增量提质成效明显</w:t>
      </w:r>
    </w:p>
    <w:p>
      <w:pPr>
        <w:spacing w:line="580" w:lineRule="exact"/>
        <w:ind w:firstLine="640" w:firstLineChars="200"/>
        <w:rPr>
          <w:rFonts w:hint="eastAsia" w:ascii="仿宋_GB2312" w:hAnsi="仿宋_GB2312" w:eastAsia="仿宋_GB2312" w:cs="仿宋_GB2312"/>
          <w:color w:val="000000"/>
          <w:sz w:val="32"/>
          <w:szCs w:val="32"/>
          <w:highlight w:val="yellow"/>
          <w:lang w:val="en-US" w:eastAsia="zh-CN"/>
        </w:rPr>
      </w:pP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color w:val="000000"/>
          <w:spacing w:val="11"/>
          <w:sz w:val="32"/>
          <w:szCs w:val="32"/>
        </w:rPr>
        <w:t>四五”以来，坚持把实体经济作为提升奉化实力的着力点，坚持</w:t>
      </w:r>
      <w:r>
        <w:rPr>
          <w:rFonts w:hint="eastAsia" w:ascii="仿宋_GB2312" w:hAnsi="仿宋_GB2312" w:eastAsia="仿宋_GB2312" w:cs="仿宋_GB2312"/>
          <w:color w:val="000000"/>
          <w:sz w:val="32"/>
          <w:szCs w:val="32"/>
        </w:rPr>
        <w:t>“上规模”“高质量”导向，持续提升</w:t>
      </w:r>
      <w:r>
        <w:rPr>
          <w:rFonts w:hint="eastAsia" w:ascii="仿宋_GB2312" w:hAnsi="仿宋_GB2312" w:eastAsia="仿宋_GB2312" w:cs="仿宋_GB2312"/>
          <w:color w:val="000000"/>
          <w:spacing w:val="-6"/>
          <w:sz w:val="32"/>
          <w:szCs w:val="32"/>
        </w:rPr>
        <w:t>产业现代化水平，切实增强经济发展的竞争力。</w:t>
      </w:r>
      <w:r>
        <w:rPr>
          <w:rFonts w:hint="eastAsia" w:ascii="仿宋_GB2312" w:hAnsi="仿宋_GB2312" w:eastAsia="仿宋_GB2312" w:cs="仿宋_GB2312"/>
          <w:b/>
          <w:bCs/>
          <w:color w:val="000000"/>
          <w:spacing w:val="-6"/>
          <w:sz w:val="32"/>
          <w:szCs w:val="32"/>
        </w:rPr>
        <w:t>工业</w:t>
      </w:r>
      <w:r>
        <w:rPr>
          <w:rFonts w:hint="eastAsia" w:ascii="仿宋_GB2312" w:hAnsi="仿宋_GB2312" w:eastAsia="仿宋_GB2312" w:cs="仿宋_GB2312"/>
          <w:b/>
          <w:bCs/>
          <w:color w:val="000000"/>
          <w:spacing w:val="6"/>
          <w:sz w:val="32"/>
          <w:szCs w:val="32"/>
        </w:rPr>
        <w:t>发展稳中见韧。</w:t>
      </w:r>
      <w:r>
        <w:rPr>
          <w:rFonts w:hint="eastAsia" w:ascii="仿宋_GB2312" w:hAnsi="仿宋_GB2312" w:eastAsia="仿宋_GB2312" w:cs="仿宋_GB2312"/>
          <w:color w:val="000000"/>
          <w:spacing w:val="6"/>
          <w:sz w:val="32"/>
          <w:szCs w:val="32"/>
        </w:rPr>
        <w:t>工业实力显著增强，全区规上工业总产值由2020年的760.5亿元增长到2022年的935.6亿元，年均增长11%。产业结构持续优化，“8100”</w:t>
      </w:r>
      <w:r>
        <w:rPr>
          <w:rFonts w:hint="eastAsia" w:ascii="仿宋_GB2312" w:hAnsi="仿宋_GB2312" w:eastAsia="仿宋_GB2312" w:cs="仿宋_GB2312"/>
          <w:color w:val="000000"/>
          <w:spacing w:val="-6"/>
          <w:sz w:val="32"/>
          <w:szCs w:val="32"/>
        </w:rPr>
        <w:t>产业实现工业总产</w:t>
      </w:r>
      <w:r>
        <w:rPr>
          <w:rFonts w:hint="eastAsia" w:ascii="仿宋_GB2312" w:hAnsi="仿宋_GB2312" w:eastAsia="仿宋_GB2312" w:cs="仿宋_GB2312"/>
          <w:color w:val="000000"/>
          <w:sz w:val="32"/>
          <w:szCs w:val="32"/>
        </w:rPr>
        <w:t>值523.9亿元，关键基础件（气动元件）、电子信息和汽车零部件等3个产业产值突破百亿元。主体队伍不断壮大，利</w:t>
      </w:r>
      <w:r>
        <w:rPr>
          <w:rFonts w:hint="eastAsia" w:ascii="仿宋_GB2312" w:hAnsi="仿宋_GB2312" w:eastAsia="仿宋_GB2312" w:cs="仿宋_GB2312"/>
          <w:color w:val="000000"/>
          <w:spacing w:val="6"/>
          <w:sz w:val="32"/>
          <w:szCs w:val="32"/>
        </w:rPr>
        <w:t>安科</w:t>
      </w:r>
      <w:r>
        <w:rPr>
          <w:rFonts w:hint="eastAsia" w:ascii="仿宋_GB2312" w:hAnsi="仿宋_GB2312" w:eastAsia="仿宋_GB2312" w:cs="仿宋_GB2312"/>
          <w:color w:val="000000"/>
          <w:sz w:val="32"/>
          <w:szCs w:val="32"/>
        </w:rPr>
        <w:t>技上市过会，新</w:t>
      </w:r>
      <w:r>
        <w:rPr>
          <w:rFonts w:hint="eastAsia" w:ascii="仿宋_GB2312" w:hAnsi="仿宋_GB2312" w:eastAsia="仿宋_GB2312" w:cs="仿宋_GB2312"/>
          <w:color w:val="000000"/>
          <w:spacing w:val="6"/>
          <w:sz w:val="32"/>
          <w:szCs w:val="32"/>
        </w:rPr>
        <w:t>增国家级专精特新“小巨人”企业21家、亿元以上企业25家、规上工业企业近</w:t>
      </w:r>
      <w:r>
        <w:rPr>
          <w:rFonts w:hint="eastAsia" w:ascii="仿宋_GB2312" w:hAnsi="仿宋_GB2312" w:eastAsia="仿宋_GB2312" w:cs="仿宋_GB2312"/>
          <w:color w:val="000000"/>
          <w:sz w:val="32"/>
          <w:szCs w:val="32"/>
        </w:rPr>
        <w:t>200家。数字经济持续发力，引育纬创能、云弧科技、百俊</w:t>
      </w:r>
      <w:r>
        <w:rPr>
          <w:rFonts w:hint="eastAsia" w:ascii="仿宋_GB2312" w:hAnsi="仿宋_GB2312" w:eastAsia="仿宋_GB2312" w:cs="仿宋_GB2312"/>
          <w:color w:val="000000"/>
          <w:spacing w:val="6"/>
          <w:sz w:val="32"/>
          <w:szCs w:val="32"/>
        </w:rPr>
        <w:t>智造、帕瓦莱斯等数字经济核心企业，奥迪斯丹“5G+工业互联网”项目荣获2023年GSMA国际“5G智能制造挑</w:t>
      </w:r>
      <w:r>
        <w:rPr>
          <w:rFonts w:hint="eastAsia" w:ascii="仿宋_GB2312" w:hAnsi="仿宋_GB2312" w:eastAsia="仿宋_GB2312" w:cs="仿宋_GB2312"/>
          <w:color w:val="000000"/>
          <w:sz w:val="32"/>
          <w:szCs w:val="32"/>
        </w:rPr>
        <w:t>战奖”，麦博韦</w:t>
      </w:r>
      <w:r>
        <w:rPr>
          <w:rFonts w:hint="eastAsia" w:ascii="仿宋_GB2312" w:hAnsi="仿宋_GB2312" w:eastAsia="仿宋_GB2312" w:cs="仿宋_GB2312"/>
          <w:color w:val="000000"/>
          <w:spacing w:val="6"/>
          <w:sz w:val="32"/>
          <w:szCs w:val="32"/>
        </w:rPr>
        <w:t>尔获评市级“未来工厂”项目，数字海洋（渔业）产业园竣工投用。</w:t>
      </w:r>
      <w:r>
        <w:rPr>
          <w:rFonts w:hint="eastAsia" w:ascii="仿宋_GB2312" w:hAnsi="仿宋_GB2312" w:eastAsia="仿宋_GB2312" w:cs="仿宋_GB2312"/>
          <w:b/>
          <w:bCs/>
          <w:color w:val="000000"/>
          <w:sz w:val="32"/>
          <w:szCs w:val="32"/>
        </w:rPr>
        <w:t>服务业发展势头明显。</w:t>
      </w:r>
      <w:r>
        <w:rPr>
          <w:rFonts w:hint="eastAsia" w:ascii="仿宋_GB2312" w:hAnsi="仿宋_GB2312" w:eastAsia="仿宋_GB2312" w:cs="仿宋_GB2312"/>
          <w:color w:val="000000"/>
          <w:sz w:val="32"/>
          <w:szCs w:val="32"/>
        </w:rPr>
        <w:t>区服务</w:t>
      </w:r>
      <w:r>
        <w:rPr>
          <w:rFonts w:hint="eastAsia" w:ascii="仿宋_GB2312" w:hAnsi="仿宋_GB2312" w:eastAsia="仿宋_GB2312" w:cs="仿宋_GB2312"/>
          <w:color w:val="000000"/>
          <w:spacing w:val="-6"/>
          <w:sz w:val="32"/>
          <w:szCs w:val="32"/>
        </w:rPr>
        <w:t>业发展中心挂牌成立，制定印发《奉化区服务业高质量跨越</w:t>
      </w:r>
      <w:r>
        <w:rPr>
          <w:rFonts w:hint="eastAsia" w:ascii="仿宋_GB2312" w:hAnsi="仿宋_GB2312" w:eastAsia="仿宋_GB2312" w:cs="仿宋_GB2312"/>
          <w:color w:val="000000"/>
          <w:spacing w:val="11"/>
          <w:sz w:val="32"/>
          <w:szCs w:val="32"/>
        </w:rPr>
        <w:t>式发展三年行动方案》，构建“555”现代服务新体系</w:t>
      </w:r>
      <w:r>
        <w:rPr>
          <w:rFonts w:hint="eastAsia" w:ascii="仿宋_GB2312" w:hAnsi="仿宋_GB2312" w:eastAsia="仿宋_GB2312" w:cs="仿宋_GB2312"/>
          <w:color w:val="000000"/>
          <w:spacing w:val="6"/>
          <w:sz w:val="32"/>
          <w:szCs w:val="32"/>
        </w:rPr>
        <w:t>，2023年上半年，实现服务业增加值168.1亿元、同比增长7.5%。现代服务业发展稳步提质，宁波农副产品物流中心二期全面建成、入选国家骨干冷链物流基地建设名单，斯正高端咨</w:t>
      </w:r>
      <w:r>
        <w:rPr>
          <w:rFonts w:hint="eastAsia" w:ascii="仿宋_GB2312" w:hAnsi="仿宋_GB2312" w:eastAsia="仿宋_GB2312" w:cs="仿宋_GB2312"/>
          <w:color w:val="000000"/>
          <w:sz w:val="32"/>
          <w:szCs w:val="32"/>
        </w:rPr>
        <w:t>询、国贸数字科技等一批企业落地建设。全域旅游持续</w:t>
      </w:r>
      <w:r>
        <w:rPr>
          <w:rFonts w:hint="eastAsia" w:ascii="仿宋_GB2312" w:hAnsi="仿宋_GB2312" w:eastAsia="仿宋_GB2312" w:cs="仿宋_GB2312"/>
          <w:color w:val="000000"/>
          <w:spacing w:val="6"/>
          <w:sz w:val="32"/>
          <w:szCs w:val="32"/>
        </w:rPr>
        <w:t>深化，</w:t>
      </w:r>
      <w:r>
        <w:rPr>
          <w:rFonts w:hint="eastAsia" w:ascii="仿宋_GB2312" w:hAnsi="仿宋_GB2312" w:eastAsia="仿宋_GB2312" w:cs="仿宋_GB2312"/>
          <w:color w:val="000000"/>
          <w:sz w:val="32"/>
          <w:szCs w:val="32"/>
        </w:rPr>
        <w:t>佛教五大名山影响力</w:t>
      </w:r>
      <w:r>
        <w:rPr>
          <w:rFonts w:hint="eastAsia" w:ascii="仿宋_GB2312" w:hAnsi="仿宋_GB2312" w:eastAsia="仿宋_GB2312" w:cs="仿宋_GB2312"/>
          <w:color w:val="000000"/>
          <w:sz w:val="32"/>
          <w:szCs w:val="32"/>
          <w:lang w:val="en-US" w:eastAsia="zh-CN"/>
        </w:rPr>
        <w:t>持续</w:t>
      </w:r>
      <w:r>
        <w:rPr>
          <w:rFonts w:hint="eastAsia" w:ascii="仿宋_GB2312" w:hAnsi="仿宋_GB2312" w:eastAsia="仿宋_GB2312" w:cs="仿宋_GB2312"/>
          <w:color w:val="000000"/>
          <w:spacing w:val="-6"/>
          <w:sz w:val="32"/>
          <w:szCs w:val="32"/>
        </w:rPr>
        <w:t>提升</w:t>
      </w:r>
      <w:r>
        <w:rPr>
          <w:rFonts w:hint="eastAsia" w:ascii="仿宋_GB2312" w:hAnsi="仿宋_GB2312" w:eastAsia="仿宋_GB2312" w:cs="仿宋_GB2312"/>
          <w:color w:val="000000"/>
          <w:spacing w:val="-6"/>
          <w:sz w:val="32"/>
          <w:szCs w:val="32"/>
          <w:highlight w:val="none"/>
        </w:rPr>
        <w:t>，</w:t>
      </w:r>
      <w:r>
        <w:rPr>
          <w:rFonts w:hint="eastAsia" w:ascii="仿宋_GB2312" w:hAnsi="仿宋_GB2312" w:eastAsia="仿宋_GB2312" w:cs="仿宋_GB2312"/>
          <w:color w:val="000000"/>
          <w:spacing w:val="6"/>
          <w:sz w:val="32"/>
          <w:szCs w:val="32"/>
          <w:highlight w:val="none"/>
          <w:lang w:val="en-US" w:eastAsia="zh-CN"/>
        </w:rPr>
        <w:t>应梦里</w:t>
      </w:r>
      <w:r>
        <w:rPr>
          <w:rFonts w:hint="eastAsia" w:ascii="仿宋_GB2312" w:hAnsi="仿宋_GB2312" w:eastAsia="仿宋_GB2312" w:cs="仿宋_GB2312"/>
          <w:color w:val="000000"/>
          <w:spacing w:val="6"/>
          <w:sz w:val="32"/>
          <w:szCs w:val="32"/>
        </w:rPr>
        <w:t>、“溪口之夜”等网红打卡地开门迎客，植物园等旅游目的地扎实推进</w:t>
      </w:r>
      <w:r>
        <w:rPr>
          <w:rFonts w:hint="eastAsia" w:ascii="仿宋_GB2312" w:hAnsi="仿宋_GB2312" w:eastAsia="仿宋_GB2312" w:cs="仿宋_GB2312"/>
          <w:color w:val="000000"/>
          <w:sz w:val="32"/>
          <w:szCs w:val="32"/>
        </w:rPr>
        <w:t>，奉化区荣登省十周年文旅发展区总评榜</w:t>
      </w:r>
      <w:r>
        <w:rPr>
          <w:rFonts w:hint="eastAsia" w:ascii="仿宋_GB2312" w:hAnsi="仿宋_GB2312" w:eastAsia="仿宋_GB2312" w:cs="仿宋_GB2312"/>
          <w:color w:val="000000"/>
          <w:spacing w:val="6"/>
          <w:sz w:val="32"/>
          <w:szCs w:val="32"/>
        </w:rPr>
        <w:t>；2023年上半年，全区接待游客879.8万人次、同比增长29.9%。</w:t>
      </w:r>
      <w:r>
        <w:rPr>
          <w:rFonts w:hint="eastAsia" w:ascii="仿宋_GB2312" w:hAnsi="仿宋_GB2312" w:eastAsia="仿宋_GB2312" w:cs="仿宋_GB2312"/>
          <w:b/>
          <w:bCs/>
          <w:color w:val="000000"/>
          <w:spacing w:val="6"/>
          <w:sz w:val="32"/>
          <w:szCs w:val="32"/>
        </w:rPr>
        <w:t>农业高质量发展持续向好。</w:t>
      </w:r>
      <w:r>
        <w:rPr>
          <w:rFonts w:hint="eastAsia" w:ascii="仿宋_GB2312" w:hAnsi="仿宋_GB2312" w:eastAsia="仿宋_GB2312" w:cs="仿宋_GB2312"/>
          <w:color w:val="000000"/>
          <w:spacing w:val="6"/>
          <w:sz w:val="32"/>
          <w:szCs w:val="32"/>
        </w:rPr>
        <w:t>粮功区整治优化全面</w:t>
      </w:r>
      <w:r>
        <w:rPr>
          <w:rFonts w:hint="eastAsia" w:ascii="仿宋_GB2312" w:hAnsi="仿宋_GB2312" w:eastAsia="仿宋_GB2312" w:cs="仿宋_GB2312"/>
          <w:color w:val="000000"/>
          <w:sz w:val="32"/>
          <w:szCs w:val="32"/>
        </w:rPr>
        <w:t>完成，星光、农商、“剡水田园”三大粮油万亩方建设稳步</w:t>
      </w:r>
      <w:r>
        <w:rPr>
          <w:rFonts w:hint="eastAsia" w:ascii="仿宋_GB2312" w:hAnsi="仿宋_GB2312" w:eastAsia="仿宋_GB2312" w:cs="仿宋_GB2312"/>
          <w:color w:val="000000"/>
          <w:spacing w:val="6"/>
          <w:sz w:val="32"/>
          <w:szCs w:val="32"/>
        </w:rPr>
        <w:t>推</w:t>
      </w:r>
      <w:r>
        <w:rPr>
          <w:rFonts w:hint="eastAsia" w:ascii="仿宋_GB2312" w:hAnsi="仿宋_GB2312" w:eastAsia="仿宋_GB2312" w:cs="仿宋_GB2312"/>
          <w:color w:val="000000"/>
          <w:sz w:val="32"/>
          <w:szCs w:val="32"/>
        </w:rPr>
        <w:t>进，松岙镇千亩方等项目建成投用，粮食播种面积达到18万亩，自给率保持在60%以上。农业改革试点加快推进，获评国家级渔船限额捕捞试点，</w:t>
      </w:r>
      <w:r>
        <w:rPr>
          <w:rFonts w:hint="eastAsia" w:ascii="仿宋_GB2312" w:hAnsi="仿宋_GB2312" w:eastAsia="仿宋_GB2312" w:cs="仿宋_GB2312"/>
          <w:color w:val="000000"/>
          <w:spacing w:val="6"/>
          <w:sz w:val="32"/>
          <w:szCs w:val="32"/>
          <w:lang w:val="en-US" w:eastAsia="zh-CN"/>
        </w:rPr>
        <w:t>乡村振兴建设获省政府督查激励，</w:t>
      </w:r>
      <w:r>
        <w:rPr>
          <w:rFonts w:hint="eastAsia" w:ascii="仿宋_GB2312" w:hAnsi="仿宋_GB2312" w:eastAsia="仿宋_GB2312" w:cs="仿宋_GB2312"/>
          <w:color w:val="000000"/>
          <w:sz w:val="32"/>
          <w:szCs w:val="32"/>
        </w:rPr>
        <w:t>列入省农作物秸秆全量化利用试点，</w:t>
      </w:r>
      <w:r>
        <w:rPr>
          <w:rFonts w:hint="eastAsia" w:ascii="仿宋_GB2312" w:hAnsi="仿宋_GB2312" w:eastAsia="仿宋_GB2312" w:cs="仿宋_GB2312"/>
          <w:color w:val="000000"/>
          <w:spacing w:val="6"/>
          <w:sz w:val="32"/>
          <w:szCs w:val="32"/>
        </w:rPr>
        <w:t>获批省级现代农业园区1个、国家特色农业强镇1个，宁波市级战略性蔬菜保供基地成功入选省级农业“标准地”改革试点名单。农业品牌创建持续</w:t>
      </w:r>
      <w:r>
        <w:rPr>
          <w:rFonts w:hint="eastAsia" w:ascii="仿宋_GB2312" w:hAnsi="仿宋_GB2312" w:eastAsia="仿宋_GB2312" w:cs="仿宋_GB2312"/>
          <w:color w:val="000000"/>
          <w:sz w:val="32"/>
          <w:szCs w:val="32"/>
        </w:rPr>
        <w:t>发力，奉化水蜜桃、奉化曲毫获评</w:t>
      </w:r>
      <w:r>
        <w:rPr>
          <w:rFonts w:hint="eastAsia" w:ascii="仿宋_GB2312" w:hAnsi="仿宋_GB2312" w:eastAsia="仿宋_GB2312" w:cs="仿宋_GB2312"/>
          <w:color w:val="000000"/>
          <w:sz w:val="32"/>
          <w:szCs w:val="32"/>
          <w:lang w:val="en-US" w:eastAsia="zh-CN"/>
        </w:rPr>
        <w:t>中国</w:t>
      </w:r>
      <w:r>
        <w:rPr>
          <w:rFonts w:hint="eastAsia" w:ascii="仿宋_GB2312" w:hAnsi="仿宋_GB2312" w:eastAsia="仿宋_GB2312" w:cs="仿宋_GB2312"/>
          <w:color w:val="000000"/>
          <w:sz w:val="32"/>
          <w:szCs w:val="32"/>
        </w:rPr>
        <w:t>国家地理标志</w:t>
      </w:r>
      <w:r>
        <w:rPr>
          <w:rFonts w:hint="eastAsia" w:ascii="仿宋_GB2312" w:hAnsi="仿宋_GB2312" w:eastAsia="仿宋_GB2312" w:cs="仿宋_GB2312"/>
          <w:color w:val="000000"/>
          <w:sz w:val="32"/>
          <w:szCs w:val="32"/>
          <w:lang w:val="en-US" w:eastAsia="zh-CN"/>
        </w:rPr>
        <w:t>产品</w:t>
      </w:r>
      <w:r>
        <w:rPr>
          <w:rFonts w:hint="eastAsia" w:ascii="仿宋_GB2312" w:hAnsi="仿宋_GB2312" w:eastAsia="仿宋_GB2312" w:cs="仿宋_GB2312"/>
          <w:color w:val="000000"/>
          <w:spacing w:val="6"/>
          <w:sz w:val="32"/>
          <w:szCs w:val="32"/>
        </w:rPr>
        <w:t>。</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 创新驱动不断深化，青创奉化活力持续迸发</w:t>
      </w:r>
    </w:p>
    <w:p>
      <w:pPr>
        <w:spacing w:line="580" w:lineRule="exact"/>
        <w:ind w:firstLine="640" w:firstLineChars="200"/>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color w:val="000000"/>
          <w:spacing w:val="6"/>
          <w:sz w:val="32"/>
          <w:szCs w:val="32"/>
        </w:rPr>
        <w:t>四五”以来，以首位战略标准推进人才强区、创新强区建设，</w:t>
      </w:r>
      <w:r>
        <w:rPr>
          <w:rFonts w:hint="eastAsia" w:ascii="仿宋_GB2312" w:hAnsi="仿宋_GB2312" w:eastAsia="仿宋_GB2312" w:cs="仿宋_GB2312"/>
          <w:color w:val="000000"/>
          <w:sz w:val="32"/>
          <w:szCs w:val="32"/>
        </w:rPr>
        <w:t>聚力打造人才聚集洼地、创新创业高地、科创生态福地。</w:t>
      </w:r>
      <w:r>
        <w:rPr>
          <w:rFonts w:hint="eastAsia" w:ascii="仿宋_GB2312" w:hAnsi="仿宋_GB2312" w:eastAsia="仿宋_GB2312" w:cs="仿宋_GB2312"/>
          <w:b/>
          <w:bCs/>
          <w:color w:val="000000"/>
          <w:spacing w:val="6"/>
          <w:sz w:val="32"/>
          <w:szCs w:val="32"/>
        </w:rPr>
        <w:t>人才强区亮点纷呈。</w:t>
      </w:r>
      <w:r>
        <w:rPr>
          <w:rFonts w:hint="eastAsia" w:ascii="仿宋_GB2312" w:hAnsi="仿宋_GB2312" w:eastAsia="仿宋_GB2312" w:cs="仿宋_GB2312"/>
          <w:color w:val="000000"/>
          <w:spacing w:val="6"/>
          <w:sz w:val="32"/>
          <w:szCs w:val="32"/>
        </w:rPr>
        <w:t>领军人才跨越发展，自主培养入选国家</w:t>
      </w:r>
      <w:r>
        <w:rPr>
          <w:rFonts w:hint="eastAsia" w:ascii="仿宋_GB2312" w:hAnsi="仿宋_GB2312" w:eastAsia="仿宋_GB2312" w:cs="仿宋_GB2312"/>
          <w:color w:val="000000"/>
          <w:sz w:val="32"/>
          <w:szCs w:val="32"/>
        </w:rPr>
        <w:t>级、省级人才计划专家数实现翻番，两院院士</w:t>
      </w:r>
      <w:r>
        <w:rPr>
          <w:rFonts w:hint="eastAsia" w:ascii="仿宋_GB2312" w:hAnsi="仿宋_GB2312" w:eastAsia="仿宋_GB2312" w:cs="仿宋_GB2312"/>
          <w:color w:val="000000"/>
          <w:spacing w:val="-6"/>
          <w:sz w:val="32"/>
          <w:szCs w:val="32"/>
        </w:rPr>
        <w:t>领衔项目实现零的突破。</w:t>
      </w:r>
      <w:r>
        <w:rPr>
          <w:rFonts w:hint="eastAsia" w:ascii="仿宋_GB2312" w:hAnsi="仿宋_GB2312" w:eastAsia="仿宋_GB2312" w:cs="仿宋_GB2312"/>
          <w:color w:val="000000"/>
          <w:sz w:val="32"/>
          <w:szCs w:val="32"/>
        </w:rPr>
        <w:t>人才新政3.0版发布实施，推动全区新增各类人才4.86万人，新增博士144人、硕士1286人，高校毕</w:t>
      </w:r>
      <w:r>
        <w:rPr>
          <w:rFonts w:hint="eastAsia" w:ascii="仿宋_GB2312" w:hAnsi="仿宋_GB2312" w:eastAsia="仿宋_GB2312" w:cs="仿宋_GB2312"/>
          <w:color w:val="000000"/>
          <w:spacing w:val="-6"/>
          <w:sz w:val="32"/>
          <w:szCs w:val="32"/>
        </w:rPr>
        <w:t>业生2.58万人，人才总量突破20万。技能人才加快培育，技</w:t>
      </w:r>
      <w:r>
        <w:rPr>
          <w:rFonts w:hint="eastAsia" w:ascii="仿宋_GB2312" w:hAnsi="仿宋_GB2312" w:eastAsia="仿宋_GB2312" w:cs="仿宋_GB2312"/>
          <w:color w:val="000000"/>
          <w:sz w:val="32"/>
          <w:szCs w:val="32"/>
        </w:rPr>
        <w:t>能人才占比达到40%，位列全市前</w:t>
      </w:r>
      <w:r>
        <w:rPr>
          <w:rFonts w:hint="eastAsia" w:ascii="仿宋_GB2312" w:hAnsi="仿宋_GB2312" w:eastAsia="仿宋_GB2312" w:cs="仿宋_GB2312"/>
          <w:color w:val="000000"/>
          <w:spacing w:val="6"/>
          <w:sz w:val="32"/>
          <w:szCs w:val="32"/>
        </w:rPr>
        <w:t>列；</w:t>
      </w:r>
      <w:r>
        <w:rPr>
          <w:rFonts w:hint="eastAsia" w:ascii="仿宋_GB2312" w:hAnsi="仿宋_GB2312" w:eastAsia="仿宋_GB2312" w:cs="仿宋_GB2312"/>
          <w:color w:val="000000"/>
          <w:sz w:val="32"/>
          <w:szCs w:val="32"/>
        </w:rPr>
        <w:t>“十四五”以来累计培育省、市新时代工匠129名，奉化工匠代言人蒋昕桦夺得世界</w:t>
      </w:r>
      <w:r>
        <w:rPr>
          <w:rFonts w:hint="eastAsia" w:ascii="仿宋_GB2312" w:hAnsi="仿宋_GB2312" w:eastAsia="仿宋_GB2312" w:cs="仿宋_GB2312"/>
          <w:color w:val="000000"/>
          <w:spacing w:val="6"/>
          <w:sz w:val="32"/>
          <w:szCs w:val="32"/>
        </w:rPr>
        <w:t>技能大赛金牌。</w:t>
      </w:r>
      <w:r>
        <w:rPr>
          <w:rFonts w:hint="eastAsia" w:ascii="仿宋_GB2312" w:hAnsi="仿宋_GB2312" w:eastAsia="仿宋_GB2312" w:cs="仿宋_GB2312"/>
          <w:b/>
          <w:bCs/>
          <w:color w:val="000000"/>
          <w:spacing w:val="-6"/>
          <w:sz w:val="32"/>
          <w:szCs w:val="32"/>
        </w:rPr>
        <w:t>创新主体加速培育。</w:t>
      </w:r>
      <w:r>
        <w:rPr>
          <w:rFonts w:hint="eastAsia" w:ascii="仿宋_GB2312" w:hAnsi="仿宋_GB2312" w:eastAsia="仿宋_GB2312" w:cs="仿宋_GB2312"/>
          <w:color w:val="000000"/>
          <w:sz w:val="32"/>
          <w:szCs w:val="32"/>
        </w:rPr>
        <w:t>新增高新技术企业132家、省级科技型中小企业500家、“小</w:t>
      </w:r>
      <w:r>
        <w:rPr>
          <w:rFonts w:hint="eastAsia" w:ascii="仿宋_GB2312" w:hAnsi="仿宋_GB2312" w:eastAsia="仿宋_GB2312" w:cs="仿宋_GB2312"/>
          <w:color w:val="000000"/>
          <w:spacing w:val="6"/>
          <w:sz w:val="32"/>
          <w:szCs w:val="32"/>
        </w:rPr>
        <w:t>而美”苗子36家，分别累计达到375家、1420家和</w:t>
      </w:r>
      <w:r>
        <w:rPr>
          <w:rFonts w:hint="eastAsia" w:ascii="仿宋_GB2312" w:hAnsi="仿宋_GB2312" w:eastAsia="仿宋_GB2312" w:cs="仿宋_GB2312"/>
          <w:color w:val="000000"/>
          <w:spacing w:val="6"/>
          <w:sz w:val="32"/>
          <w:szCs w:val="32"/>
          <w:lang w:val="en-US"/>
        </w:rPr>
        <w:t>7</w:t>
      </w:r>
      <w:r>
        <w:rPr>
          <w:rFonts w:hint="eastAsia" w:ascii="仿宋_GB2312" w:hAnsi="仿宋_GB2312" w:eastAsia="仿宋_GB2312" w:cs="仿宋_GB2312"/>
          <w:color w:val="000000"/>
          <w:spacing w:val="6"/>
          <w:sz w:val="32"/>
          <w:szCs w:val="32"/>
        </w:rPr>
        <w:t>5家</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力品格等</w:t>
      </w:r>
      <w:r>
        <w:rPr>
          <w:rFonts w:hint="eastAsia" w:ascii="仿宋_GB2312" w:hAnsi="仿宋_GB2312" w:eastAsia="仿宋_GB2312" w:cs="仿宋_GB2312"/>
          <w:color w:val="000000"/>
          <w:spacing w:val="6"/>
          <w:sz w:val="32"/>
          <w:szCs w:val="32"/>
          <w:lang w:val="en-US" w:eastAsia="zh-CN"/>
        </w:rPr>
        <w:t>5</w:t>
      </w:r>
      <w:r>
        <w:rPr>
          <w:rFonts w:hint="eastAsia" w:ascii="仿宋_GB2312" w:hAnsi="仿宋_GB2312" w:eastAsia="仿宋_GB2312" w:cs="仿宋_GB2312"/>
          <w:color w:val="000000"/>
          <w:spacing w:val="6"/>
          <w:sz w:val="32"/>
          <w:szCs w:val="32"/>
        </w:rPr>
        <w:t>家企业获评省级企业研究院</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海上鲜信息技术</w:t>
      </w:r>
      <w:r>
        <w:rPr>
          <w:rFonts w:hint="eastAsia" w:ascii="仿宋_GB2312" w:hAnsi="仿宋_GB2312" w:eastAsia="仿宋_GB2312" w:cs="仿宋_GB2312"/>
          <w:color w:val="000000"/>
          <w:spacing w:val="6"/>
          <w:sz w:val="32"/>
          <w:szCs w:val="32"/>
          <w:lang w:val="en-US" w:eastAsia="zh-CN"/>
        </w:rPr>
        <w:t>加快</w:t>
      </w:r>
      <w:r>
        <w:rPr>
          <w:rFonts w:hint="eastAsia" w:ascii="仿宋_GB2312" w:hAnsi="仿宋_GB2312" w:eastAsia="仿宋_GB2312" w:cs="仿宋_GB2312"/>
          <w:color w:val="000000"/>
          <w:spacing w:val="6"/>
          <w:sz w:val="32"/>
          <w:szCs w:val="32"/>
        </w:rPr>
        <w:t>港股上市</w:t>
      </w:r>
      <w:r>
        <w:rPr>
          <w:rFonts w:hint="eastAsia" w:ascii="仿宋_GB2312" w:hAnsi="仿宋_GB2312" w:eastAsia="仿宋_GB2312" w:cs="仿宋_GB2312"/>
          <w:color w:val="000000"/>
          <w:spacing w:val="6"/>
          <w:sz w:val="32"/>
          <w:szCs w:val="32"/>
          <w:lang w:val="en-US" w:eastAsia="zh-CN"/>
        </w:rPr>
        <w:t>进程，</w:t>
      </w:r>
      <w:r>
        <w:rPr>
          <w:rFonts w:hint="eastAsia" w:ascii="仿宋_GB2312" w:hAnsi="仿宋_GB2312" w:eastAsia="仿宋_GB2312" w:cs="仿宋_GB2312"/>
          <w:color w:val="000000"/>
          <w:spacing w:val="6"/>
          <w:sz w:val="32"/>
          <w:szCs w:val="32"/>
        </w:rPr>
        <w:t>源海博创等5家企业获得宁波市级重大专项立项，霍科电器、坚锋</w:t>
      </w:r>
      <w:r>
        <w:rPr>
          <w:rFonts w:hint="eastAsia" w:ascii="仿宋_GB2312" w:hAnsi="仿宋_GB2312" w:eastAsia="仿宋_GB2312" w:cs="仿宋_GB2312"/>
          <w:color w:val="000000"/>
          <w:spacing w:val="6"/>
          <w:sz w:val="32"/>
          <w:szCs w:val="32"/>
          <w:lang w:val="en-US" w:eastAsia="zh-CN"/>
        </w:rPr>
        <w:t>科技</w:t>
      </w:r>
      <w:r>
        <w:rPr>
          <w:rFonts w:hint="eastAsia" w:ascii="仿宋_GB2312" w:hAnsi="仿宋_GB2312" w:eastAsia="仿宋_GB2312" w:cs="仿宋_GB2312"/>
          <w:color w:val="000000"/>
          <w:spacing w:val="6"/>
          <w:sz w:val="32"/>
          <w:szCs w:val="32"/>
        </w:rPr>
        <w:t>获评</w:t>
      </w:r>
      <w:r>
        <w:rPr>
          <w:rFonts w:hint="eastAsia" w:ascii="仿宋_GB2312" w:hAnsi="仿宋_GB2312" w:eastAsia="仿宋_GB2312" w:cs="仿宋_GB2312"/>
          <w:color w:val="000000"/>
          <w:spacing w:val="6"/>
          <w:sz w:val="32"/>
          <w:szCs w:val="32"/>
          <w:lang w:val="en-US" w:eastAsia="zh-CN"/>
        </w:rPr>
        <w:t>省、</w:t>
      </w:r>
      <w:r>
        <w:rPr>
          <w:rFonts w:hint="eastAsia" w:ascii="仿宋_GB2312" w:hAnsi="仿宋_GB2312" w:eastAsia="仿宋_GB2312" w:cs="仿宋_GB2312"/>
          <w:color w:val="000000"/>
          <w:spacing w:val="6"/>
          <w:sz w:val="32"/>
          <w:szCs w:val="32"/>
        </w:rPr>
        <w:t>市“专精特新”中小企业。</w:t>
      </w:r>
      <w:r>
        <w:rPr>
          <w:rFonts w:hint="eastAsia" w:ascii="仿宋_GB2312" w:hAnsi="仿宋_GB2312" w:eastAsia="仿宋_GB2312" w:cs="仿宋_GB2312"/>
          <w:b/>
          <w:bCs/>
          <w:color w:val="000000"/>
          <w:spacing w:val="6"/>
          <w:sz w:val="32"/>
          <w:szCs w:val="32"/>
        </w:rPr>
        <w:t>创新</w:t>
      </w:r>
      <w:r>
        <w:rPr>
          <w:rFonts w:hint="eastAsia" w:ascii="仿宋_GB2312" w:hAnsi="仿宋_GB2312" w:eastAsia="仿宋_GB2312" w:cs="仿宋_GB2312"/>
          <w:b/>
          <w:bCs/>
          <w:color w:val="000000"/>
          <w:sz w:val="32"/>
          <w:szCs w:val="32"/>
        </w:rPr>
        <w:t>平台加快建设。</w:t>
      </w:r>
      <w:r>
        <w:rPr>
          <w:rFonts w:hint="eastAsia" w:ascii="仿宋_GB2312" w:hAnsi="仿宋_GB2312" w:eastAsia="仿宋_GB2312" w:cs="仿宋_GB2312"/>
          <w:color w:val="000000"/>
          <w:sz w:val="32"/>
          <w:szCs w:val="32"/>
        </w:rPr>
        <w:t>3号青创大走廊建设高水平推进，“茗山智谷”创新综合体加快建设运营，锋成、瑞凌、麦博韦尔、海上鲜等一批产业</w:t>
      </w:r>
      <w:r>
        <w:rPr>
          <w:rFonts w:hint="eastAsia" w:ascii="仿宋_GB2312" w:hAnsi="仿宋_GB2312" w:eastAsia="仿宋_GB2312" w:cs="仿宋_GB2312"/>
          <w:color w:val="000000"/>
          <w:spacing w:val="6"/>
          <w:sz w:val="32"/>
          <w:szCs w:val="32"/>
        </w:rPr>
        <w:t>技术研究院建成投用，凤麓新材料加速器获评</w:t>
      </w:r>
      <w:r>
        <w:rPr>
          <w:rFonts w:hint="eastAsia" w:ascii="仿宋_GB2312" w:hAnsi="仿宋_GB2312" w:eastAsia="仿宋_GB2312" w:cs="仿宋_GB2312"/>
          <w:color w:val="000000"/>
          <w:sz w:val="32"/>
          <w:szCs w:val="32"/>
        </w:rPr>
        <w:t>省级科</w:t>
      </w:r>
      <w:r>
        <w:rPr>
          <w:rFonts w:hint="eastAsia" w:ascii="仿宋_GB2312" w:hAnsi="仿宋_GB2312" w:eastAsia="仿宋_GB2312" w:cs="仿宋_GB2312"/>
          <w:color w:val="000000"/>
          <w:spacing w:val="-6"/>
          <w:sz w:val="32"/>
          <w:szCs w:val="32"/>
        </w:rPr>
        <w:t>技</w:t>
      </w:r>
      <w:r>
        <w:rPr>
          <w:rFonts w:hint="eastAsia" w:ascii="仿宋_GB2312" w:hAnsi="仿宋_GB2312" w:eastAsia="仿宋_GB2312" w:cs="仿宋_GB2312"/>
          <w:color w:val="000000"/>
          <w:sz w:val="32"/>
          <w:szCs w:val="32"/>
        </w:rPr>
        <w:t>企业孵化器，</w:t>
      </w:r>
      <w:r>
        <w:rPr>
          <w:rFonts w:hint="eastAsia" w:ascii="仿宋_GB2312" w:hAnsi="仿宋_GB2312" w:eastAsia="仿宋_GB2312" w:cs="仿宋_GB2312"/>
          <w:color w:val="000000"/>
          <w:sz w:val="32"/>
          <w:szCs w:val="32"/>
          <w:lang w:val="en-US" w:eastAsia="zh-CN"/>
        </w:rPr>
        <w:t>浙江省首家省级退役军人创业创新园落地奉化，</w:t>
      </w:r>
      <w:r>
        <w:rPr>
          <w:rFonts w:hint="eastAsia" w:ascii="仿宋_GB2312" w:hAnsi="仿宋_GB2312" w:eastAsia="仿宋_GB2312" w:cs="仿宋_GB2312"/>
          <w:color w:val="000000"/>
          <w:sz w:val="32"/>
          <w:szCs w:val="32"/>
        </w:rPr>
        <w:t>全区累计</w:t>
      </w:r>
      <w:r>
        <w:rPr>
          <w:rFonts w:hint="eastAsia" w:ascii="仿宋_GB2312" w:hAnsi="仿宋_GB2312" w:eastAsia="仿宋_GB2312" w:cs="仿宋_GB2312"/>
          <w:color w:val="000000"/>
          <w:sz w:val="32"/>
          <w:szCs w:val="32"/>
          <w:lang w:val="en-US" w:eastAsia="zh-CN"/>
        </w:rPr>
        <w:t>拥有市级以上</w:t>
      </w:r>
      <w:r>
        <w:rPr>
          <w:rFonts w:hint="eastAsia" w:ascii="仿宋_GB2312" w:hAnsi="仿宋_GB2312" w:eastAsia="仿宋_GB2312" w:cs="仿宋_GB2312"/>
          <w:color w:val="000000"/>
          <w:sz w:val="32"/>
          <w:szCs w:val="32"/>
        </w:rPr>
        <w:t>众创空间</w:t>
      </w:r>
      <w:r>
        <w:rPr>
          <w:rFonts w:hint="eastAsia" w:ascii="仿宋_GB2312" w:hAnsi="仿宋_GB2312" w:eastAsia="仿宋_GB2312" w:cs="仿宋_GB2312"/>
          <w:color w:val="000000"/>
          <w:sz w:val="32"/>
          <w:szCs w:val="32"/>
          <w:lang w:val="en-US" w:eastAsia="zh-CN"/>
        </w:rPr>
        <w:t>孵化器</w:t>
      </w:r>
      <w:r>
        <w:rPr>
          <w:rFonts w:hint="eastAsia" w:ascii="仿宋_GB2312" w:hAnsi="仿宋_GB2312" w:eastAsia="仿宋_GB2312" w:cs="仿宋_GB2312"/>
          <w:color w:val="000000"/>
          <w:sz w:val="32"/>
          <w:szCs w:val="32"/>
        </w:rPr>
        <w:t>11家。</w:t>
      </w:r>
      <w:r>
        <w:rPr>
          <w:rFonts w:hint="eastAsia" w:ascii="仿宋_GB2312" w:hAnsi="仿宋_GB2312" w:eastAsia="仿宋_GB2312" w:cs="仿宋_GB2312"/>
          <w:b/>
          <w:bCs/>
          <w:color w:val="000000"/>
          <w:sz w:val="32"/>
          <w:szCs w:val="32"/>
        </w:rPr>
        <w:t>创新成果取得突破。</w:t>
      </w:r>
      <w:r>
        <w:rPr>
          <w:rFonts w:hint="eastAsia" w:ascii="仿宋_GB2312" w:hAnsi="仿宋_GB2312" w:eastAsia="仿宋_GB2312" w:cs="仿宋_GB2312"/>
          <w:color w:val="000000"/>
          <w:sz w:val="32"/>
          <w:szCs w:val="32"/>
        </w:rPr>
        <w:t>科技创新协同发力，申报实施市级重大科技专项10项，区产业链关键核心技术难题揭榜挂帅项目32项</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十四五</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以来，</w:t>
      </w:r>
      <w:r>
        <w:rPr>
          <w:rFonts w:hint="eastAsia" w:ascii="仿宋_GB2312" w:hAnsi="仿宋_GB2312" w:eastAsia="仿宋_GB2312" w:cs="仿宋_GB2312"/>
          <w:color w:val="000000"/>
          <w:spacing w:val="6"/>
          <w:sz w:val="32"/>
          <w:szCs w:val="32"/>
          <w:lang w:val="en-US" w:eastAsia="zh-CN"/>
        </w:rPr>
        <w:t>全</w:t>
      </w:r>
      <w:r>
        <w:rPr>
          <w:rFonts w:hint="eastAsia" w:ascii="仿宋_GB2312" w:hAnsi="仿宋_GB2312" w:eastAsia="仿宋_GB2312" w:cs="仿宋_GB2312"/>
          <w:color w:val="000000"/>
          <w:spacing w:val="6"/>
          <w:sz w:val="32"/>
          <w:szCs w:val="32"/>
        </w:rPr>
        <w:t>区共有4家企业获评中国创新创业大赛全国赛优秀企业</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15家企业获得中国创新创业大赛宁波赛区各类奖项。</w:t>
      </w:r>
      <w:r>
        <w:rPr>
          <w:rFonts w:hint="eastAsia" w:ascii="仿宋_GB2312" w:hAnsi="仿宋_GB2312" w:eastAsia="仿宋_GB2312" w:cs="仿宋_GB2312"/>
          <w:color w:val="000000"/>
          <w:spacing w:val="-6"/>
          <w:sz w:val="32"/>
          <w:szCs w:val="32"/>
        </w:rPr>
        <w:t>科技成果转化进展良好，</w:t>
      </w:r>
      <w:r>
        <w:rPr>
          <w:rFonts w:hint="eastAsia" w:ascii="仿宋_GB2312" w:hAnsi="仿宋_GB2312" w:eastAsia="仿宋_GB2312" w:cs="仿宋_GB2312"/>
          <w:color w:val="000000"/>
          <w:sz w:val="32"/>
          <w:szCs w:val="32"/>
        </w:rPr>
        <w:t>在奉化区成立市知识产权交易服务中心，工信部关键零部件创新</w:t>
      </w:r>
      <w:r>
        <w:rPr>
          <w:rFonts w:hint="eastAsia" w:ascii="仿宋_GB2312" w:hAnsi="仿宋_GB2312" w:eastAsia="仿宋_GB2312" w:cs="仿宋_GB2312"/>
          <w:color w:val="000000"/>
          <w:spacing w:val="-6"/>
          <w:sz w:val="32"/>
          <w:szCs w:val="32"/>
        </w:rPr>
        <w:t>成果产业化服务平台落地运行，“十四五”以来全区累计实现</w:t>
      </w:r>
      <w:r>
        <w:rPr>
          <w:rFonts w:hint="eastAsia" w:ascii="仿宋_GB2312" w:hAnsi="仿宋_GB2312" w:eastAsia="仿宋_GB2312" w:cs="仿宋_GB2312"/>
          <w:color w:val="000000"/>
          <w:sz w:val="32"/>
          <w:szCs w:val="32"/>
        </w:rPr>
        <w:t>技术交易额35.6亿元</w:t>
      </w:r>
      <w:r>
        <w:rPr>
          <w:rFonts w:hint="eastAsia" w:ascii="仿宋_GB2312" w:hAnsi="仿宋_GB2312" w:eastAsia="仿宋_GB2312" w:cs="仿宋_GB2312"/>
          <w:color w:val="000000"/>
          <w:spacing w:val="6"/>
          <w:sz w:val="32"/>
          <w:szCs w:val="32"/>
        </w:rPr>
        <w:t>。</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 内扩外拓有效联动，“双循环”格局加速融入</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“十四五”以来，主动融入“双循环”新发展格局，坚持有效市场和有为政府互促共进，打造形成一批扩内需、促开放的标志</w:t>
      </w:r>
      <w:r>
        <w:rPr>
          <w:rFonts w:hint="eastAsia" w:ascii="仿宋_GB2312" w:hAnsi="仿宋_GB2312" w:eastAsia="仿宋_GB2312" w:cs="仿宋_GB2312"/>
          <w:color w:val="000000"/>
          <w:spacing w:val="11"/>
          <w:sz w:val="32"/>
          <w:szCs w:val="32"/>
        </w:rPr>
        <w:t>性成果。</w:t>
      </w:r>
      <w:r>
        <w:rPr>
          <w:rFonts w:hint="eastAsia" w:ascii="仿宋_GB2312" w:hAnsi="仿宋_GB2312" w:eastAsia="仿宋_GB2312" w:cs="仿宋_GB2312"/>
          <w:b/>
          <w:bCs/>
          <w:color w:val="000000"/>
          <w:spacing w:val="11"/>
          <w:sz w:val="32"/>
          <w:szCs w:val="32"/>
        </w:rPr>
        <w:t>有效投</w:t>
      </w:r>
      <w:r>
        <w:rPr>
          <w:rFonts w:hint="eastAsia" w:ascii="仿宋_GB2312" w:hAnsi="仿宋_GB2312" w:eastAsia="仿宋_GB2312" w:cs="仿宋_GB2312"/>
          <w:b/>
          <w:bCs/>
          <w:color w:val="000000"/>
          <w:spacing w:val="6"/>
          <w:sz w:val="32"/>
          <w:szCs w:val="32"/>
        </w:rPr>
        <w:t>资</w:t>
      </w:r>
      <w:r>
        <w:rPr>
          <w:rFonts w:hint="eastAsia" w:ascii="仿宋_GB2312" w:hAnsi="仿宋_GB2312" w:eastAsia="仿宋_GB2312" w:cs="仿宋_GB2312"/>
          <w:b/>
          <w:bCs/>
          <w:color w:val="000000"/>
          <w:sz w:val="32"/>
          <w:szCs w:val="32"/>
        </w:rPr>
        <w:t>精准扩大。</w:t>
      </w:r>
      <w:r>
        <w:rPr>
          <w:rFonts w:hint="eastAsia" w:ascii="仿宋_GB2312" w:hAnsi="仿宋_GB2312" w:eastAsia="仿宋_GB2312" w:cs="仿宋_GB2312"/>
          <w:color w:val="000000"/>
          <w:sz w:val="32"/>
          <w:szCs w:val="32"/>
        </w:rPr>
        <w:t>重大项目“124</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pacing w:val="6"/>
          <w:sz w:val="32"/>
          <w:szCs w:val="32"/>
        </w:rPr>
        <w:t>推进机制获汤飞帆市长批示肯定，滚动充实“投产一批、</w:t>
      </w:r>
      <w:r>
        <w:rPr>
          <w:rFonts w:hint="eastAsia" w:ascii="仿宋_GB2312" w:hAnsi="仿宋_GB2312" w:eastAsia="仿宋_GB2312" w:cs="仿宋_GB2312"/>
          <w:color w:val="000000"/>
          <w:spacing w:val="-6"/>
          <w:sz w:val="32"/>
          <w:szCs w:val="32"/>
        </w:rPr>
        <w:t>开工一批、储备一批”产业投资项目库，2021—2022年完成固定</w:t>
      </w:r>
      <w:r>
        <w:rPr>
          <w:rFonts w:hint="eastAsia" w:ascii="仿宋_GB2312" w:hAnsi="仿宋_GB2312" w:eastAsia="仿宋_GB2312" w:cs="仿宋_GB2312"/>
          <w:color w:val="000000"/>
          <w:sz w:val="32"/>
          <w:szCs w:val="32"/>
        </w:rPr>
        <w:t>资产投资843.2亿元，其中2022年总量居全市第四、增速居</w:t>
      </w:r>
      <w:r>
        <w:rPr>
          <w:rFonts w:hint="eastAsia" w:ascii="仿宋_GB2312" w:hAnsi="仿宋_GB2312" w:eastAsia="仿宋_GB2312" w:cs="仿宋_GB2312"/>
          <w:color w:val="000000"/>
          <w:spacing w:val="6"/>
          <w:sz w:val="32"/>
          <w:szCs w:val="32"/>
        </w:rPr>
        <w:t>全市第三。</w:t>
      </w:r>
      <w:r>
        <w:rPr>
          <w:rFonts w:hint="eastAsia" w:ascii="仿宋_GB2312" w:hAnsi="仿宋_GB2312" w:eastAsia="仿宋_GB2312" w:cs="仿宋_GB2312"/>
          <w:b/>
          <w:bCs/>
          <w:color w:val="000000"/>
          <w:sz w:val="32"/>
          <w:szCs w:val="32"/>
        </w:rPr>
        <w:t>消费市场恢复向好。</w:t>
      </w:r>
      <w:r>
        <w:rPr>
          <w:rFonts w:hint="eastAsia" w:ascii="仿宋_GB2312" w:hAnsi="仿宋_GB2312" w:eastAsia="仿宋_GB2312" w:cs="仿宋_GB2312"/>
          <w:color w:val="000000"/>
          <w:sz w:val="32"/>
          <w:szCs w:val="32"/>
        </w:rPr>
        <w:t>2023年上半年，全区社会消费品</w:t>
      </w:r>
      <w:r>
        <w:rPr>
          <w:rFonts w:hint="eastAsia" w:ascii="仿宋_GB2312" w:hAnsi="仿宋_GB2312" w:eastAsia="仿宋_GB2312" w:cs="仿宋_GB2312"/>
          <w:color w:val="000000"/>
          <w:spacing w:val="6"/>
          <w:sz w:val="32"/>
          <w:szCs w:val="32"/>
        </w:rPr>
        <w:t>零售总额和居民人均消费支出分别同比增长13.7%和</w:t>
      </w:r>
      <w:r>
        <w:rPr>
          <w:rFonts w:hint="eastAsia" w:ascii="仿宋_GB2312" w:hAnsi="仿宋_GB2312" w:eastAsia="仿宋_GB2312" w:cs="仿宋_GB2312"/>
          <w:color w:val="000000"/>
          <w:sz w:val="32"/>
          <w:szCs w:val="32"/>
        </w:rPr>
        <w:t>7.6%，增速均居全市第一。消费新热点持续培育，改造提升溪口景区武岭路步行街，投资搭建《梦里溪口》大型山水实景光影秀，打造万达广场星光夜市、奉达夜市、“棒集”文化夜市、蜜桃啤酒节等夜间消费场景。大力开展促消费攻坚</w:t>
      </w:r>
      <w:r>
        <w:rPr>
          <w:rFonts w:hint="eastAsia" w:ascii="仿宋_GB2312" w:hAnsi="仿宋_GB2312" w:eastAsia="仿宋_GB2312" w:cs="仿宋_GB2312"/>
          <w:color w:val="000000"/>
          <w:spacing w:val="-6"/>
          <w:sz w:val="32"/>
          <w:szCs w:val="32"/>
        </w:rPr>
        <w:t>行动，先后发放9轮消费券，惠及70万以上人次。</w:t>
      </w:r>
      <w:r>
        <w:rPr>
          <w:rFonts w:hint="eastAsia" w:ascii="仿宋_GB2312" w:hAnsi="仿宋_GB2312" w:eastAsia="仿宋_GB2312" w:cs="仿宋_GB2312"/>
          <w:b/>
          <w:bCs/>
          <w:color w:val="000000"/>
          <w:spacing w:val="-6"/>
          <w:sz w:val="32"/>
          <w:szCs w:val="32"/>
        </w:rPr>
        <w:t>“引进来</w:t>
      </w:r>
      <w:r>
        <w:rPr>
          <w:rFonts w:hint="eastAsia" w:ascii="仿宋_GB2312" w:hAnsi="仿宋_GB2312" w:eastAsia="仿宋_GB2312" w:cs="仿宋_GB2312"/>
          <w:b/>
          <w:bCs/>
          <w:color w:val="000000"/>
          <w:sz w:val="32"/>
          <w:szCs w:val="32"/>
        </w:rPr>
        <w:t>、走出去”双向</w:t>
      </w:r>
      <w:r>
        <w:rPr>
          <w:rFonts w:hint="eastAsia" w:ascii="仿宋_GB2312" w:hAnsi="仿宋_GB2312" w:eastAsia="仿宋_GB2312" w:cs="仿宋_GB2312"/>
          <w:b/>
          <w:bCs/>
          <w:color w:val="000000"/>
          <w:spacing w:val="6"/>
          <w:sz w:val="32"/>
          <w:szCs w:val="32"/>
        </w:rPr>
        <w:t>发力。</w:t>
      </w:r>
      <w:r>
        <w:rPr>
          <w:rFonts w:hint="eastAsia" w:ascii="仿宋_GB2312" w:hAnsi="仿宋_GB2312" w:eastAsia="仿宋_GB2312" w:cs="仿宋_GB2312"/>
          <w:color w:val="000000"/>
          <w:spacing w:val="6"/>
          <w:sz w:val="32"/>
          <w:szCs w:val="32"/>
        </w:rPr>
        <w:t>产业地图、招商地图正式启用，2022年新引进亿元以上项目36个、十亿元以上项目4个，腾讯云启产业基地（宁波）、网易有道宁波区域中心、百度飞桨人工智能产业赋能中心、</w:t>
      </w:r>
      <w:r>
        <w:rPr>
          <w:rFonts w:hint="eastAsia" w:ascii="仿宋_GB2312" w:hAnsi="仿宋_GB2312" w:eastAsia="仿宋_GB2312" w:cs="仿宋_GB2312"/>
          <w:color w:val="000000"/>
          <w:sz w:val="32"/>
          <w:szCs w:val="32"/>
        </w:rPr>
        <w:t>达闼机器人、物</w:t>
      </w:r>
      <w:r>
        <w:rPr>
          <w:rFonts w:hint="eastAsia" w:ascii="仿宋_GB2312" w:hAnsi="仿宋_GB2312" w:eastAsia="仿宋_GB2312" w:cs="仿宋_GB2312"/>
          <w:color w:val="000000"/>
          <w:spacing w:val="6"/>
          <w:sz w:val="32"/>
          <w:szCs w:val="32"/>
        </w:rPr>
        <w:t>产新能源汽车</w:t>
      </w:r>
      <w:r>
        <w:rPr>
          <w:rFonts w:hint="eastAsia" w:ascii="仿宋_GB2312" w:hAnsi="仿宋_GB2312" w:eastAsia="仿宋_GB2312" w:cs="仿宋_GB2312"/>
          <w:color w:val="000000"/>
          <w:sz w:val="32"/>
          <w:szCs w:val="32"/>
        </w:rPr>
        <w:t>配件大宗贸易中心等一批优质项目签约落地。内贸外贸协同推进</w:t>
      </w:r>
      <w:r>
        <w:rPr>
          <w:rFonts w:hint="eastAsia" w:ascii="仿宋_GB2312" w:hAnsi="仿宋_GB2312" w:eastAsia="仿宋_GB2312" w:cs="仿宋_GB2312"/>
          <w:color w:val="000000"/>
          <w:spacing w:val="6"/>
          <w:sz w:val="32"/>
          <w:szCs w:val="32"/>
        </w:rPr>
        <w:t>，奉化区内外贸一体化改革试点产业基地（服装）列入浙江省改革试点，</w:t>
      </w:r>
      <w:r>
        <w:rPr>
          <w:rFonts w:hint="eastAsia" w:ascii="仿宋_GB2312" w:hAnsi="仿宋_GB2312" w:eastAsia="仿宋_GB2312" w:cs="仿宋_GB2312"/>
          <w:color w:val="000000"/>
          <w:sz w:val="32"/>
          <w:szCs w:val="32"/>
        </w:rPr>
        <w:t>新邦科技列入浙江省第四批内外贸一体</w:t>
      </w:r>
      <w:r>
        <w:rPr>
          <w:rFonts w:hint="eastAsia" w:ascii="仿宋_GB2312" w:hAnsi="仿宋_GB2312" w:eastAsia="仿宋_GB2312" w:cs="仿宋_GB2312"/>
          <w:color w:val="000000"/>
          <w:spacing w:val="-6"/>
          <w:sz w:val="32"/>
          <w:szCs w:val="32"/>
        </w:rPr>
        <w:t>化“领跑者”企业，</w:t>
      </w:r>
      <w:r>
        <w:rPr>
          <w:rFonts w:hint="eastAsia" w:ascii="仿宋_GB2312" w:hAnsi="仿宋_GB2312" w:eastAsia="仿宋_GB2312" w:cs="仿宋_GB2312"/>
          <w:color w:val="000000"/>
          <w:spacing w:val="-6"/>
          <w:sz w:val="32"/>
          <w:szCs w:val="32"/>
          <w:lang w:val="en-US" w:eastAsia="zh-CN"/>
        </w:rPr>
        <w:t>2023</w:t>
      </w:r>
      <w:r>
        <w:rPr>
          <w:rFonts w:hint="eastAsia" w:ascii="仿宋_GB2312" w:hAnsi="仿宋_GB2312" w:eastAsia="仿宋_GB2312" w:cs="仿宋_GB2312"/>
          <w:color w:val="000000"/>
          <w:spacing w:val="-6"/>
          <w:sz w:val="32"/>
          <w:szCs w:val="32"/>
        </w:rPr>
        <w:t>年上半年，全区出口额119.2亿元，同</w:t>
      </w:r>
      <w:r>
        <w:rPr>
          <w:rFonts w:hint="eastAsia" w:ascii="仿宋_GB2312" w:hAnsi="仿宋_GB2312" w:eastAsia="仿宋_GB2312" w:cs="仿宋_GB2312"/>
          <w:color w:val="000000"/>
          <w:sz w:val="32"/>
          <w:szCs w:val="32"/>
        </w:rPr>
        <w:t>比增长2.1%，跨境电商交易额同比增长28%。</w:t>
      </w:r>
      <w:r>
        <w:rPr>
          <w:rFonts w:hint="eastAsia" w:ascii="仿宋_GB2312" w:hAnsi="仿宋_GB2312" w:eastAsia="仿宋_GB2312" w:cs="仿宋_GB2312"/>
          <w:b/>
          <w:bCs/>
          <w:color w:val="000000"/>
          <w:sz w:val="32"/>
          <w:szCs w:val="32"/>
        </w:rPr>
        <w:t>长三角区域一体合作持续加深。</w:t>
      </w:r>
      <w:r>
        <w:rPr>
          <w:rFonts w:hint="eastAsia" w:ascii="仿宋_GB2312" w:hAnsi="仿宋_GB2312" w:eastAsia="仿宋_GB2312" w:cs="仿宋_GB2312"/>
          <w:color w:val="000000"/>
          <w:sz w:val="32"/>
          <w:szCs w:val="32"/>
        </w:rPr>
        <w:t>浙江省中医院与奉化区中医医院、复旦大学附属妇产科医院与奉化区妇幼保健院加快合作共建，国科大附属肿瘤医院（省肿瘤医院）宁波院区揭牌开诊，浙师大附属奉化实验学校正式揭牌，成立“奉嵊新”旅游推广联盟。</w:t>
      </w:r>
    </w:p>
    <w:p>
      <w:pPr>
        <w:spacing w:line="580" w:lineRule="exact"/>
        <w:ind w:firstLine="667" w:firstLineChars="200"/>
        <w:rPr>
          <w:rFonts w:hint="eastAsia" w:ascii="仿宋_GB2312" w:hAnsi="仿宋_GB2312" w:eastAsia="仿宋_GB2312" w:cs="仿宋_GB2312"/>
          <w:b/>
          <w:bCs/>
          <w:color w:val="000000"/>
          <w:spacing w:val="6"/>
          <w:sz w:val="32"/>
          <w:szCs w:val="32"/>
        </w:rPr>
      </w:pPr>
      <w:r>
        <w:rPr>
          <w:rFonts w:hint="eastAsia" w:ascii="仿宋_GB2312" w:hAnsi="仿宋_GB2312" w:eastAsia="仿宋_GB2312" w:cs="仿宋_GB2312"/>
          <w:b/>
          <w:bCs/>
          <w:color w:val="000000"/>
          <w:spacing w:val="6"/>
          <w:sz w:val="32"/>
          <w:szCs w:val="32"/>
        </w:rPr>
        <w:t>4. 城乡融合加快提升，美丽宜居风韵彰显</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“十四五”以来，统筹推进城镇“美丽单元”做精，农村</w:t>
      </w:r>
      <w:r>
        <w:rPr>
          <w:rFonts w:hint="eastAsia" w:ascii="仿宋_GB2312" w:hAnsi="仿宋_GB2312" w:eastAsia="仿宋_GB2312" w:cs="仿宋_GB2312"/>
          <w:color w:val="000000"/>
          <w:spacing w:val="-6"/>
          <w:sz w:val="32"/>
          <w:szCs w:val="32"/>
        </w:rPr>
        <w:t>“美丽面貌”做特，城乡“美丽链条”做优，城乡融合“精</w:t>
      </w:r>
      <w:r>
        <w:rPr>
          <w:rFonts w:hint="eastAsia" w:ascii="仿宋_GB2312" w:hAnsi="仿宋_GB2312" w:eastAsia="仿宋_GB2312" w:cs="仿宋_GB2312"/>
          <w:color w:val="000000"/>
          <w:spacing w:val="6"/>
          <w:sz w:val="32"/>
          <w:szCs w:val="32"/>
        </w:rPr>
        <w:t>致美”加速显现。</w:t>
      </w:r>
      <w:r>
        <w:rPr>
          <w:rFonts w:hint="eastAsia" w:ascii="仿宋_GB2312" w:hAnsi="仿宋_GB2312" w:eastAsia="仿宋_GB2312" w:cs="仿宋_GB2312"/>
          <w:b/>
          <w:bCs/>
          <w:color w:val="000000"/>
          <w:spacing w:val="6"/>
          <w:sz w:val="32"/>
          <w:szCs w:val="32"/>
        </w:rPr>
        <w:t>交通格局不断优化</w:t>
      </w:r>
      <w:r>
        <w:rPr>
          <w:rFonts w:hint="eastAsia" w:ascii="仿宋_GB2312" w:hAnsi="仿宋_GB2312" w:eastAsia="仿宋_GB2312" w:cs="仿宋_GB2312"/>
          <w:color w:val="000000"/>
          <w:spacing w:val="6"/>
          <w:sz w:val="32"/>
          <w:szCs w:val="32"/>
        </w:rPr>
        <w:t>。抢抓宁波枢纽建设历史</w:t>
      </w:r>
      <w:r>
        <w:rPr>
          <w:rFonts w:hint="eastAsia" w:ascii="仿宋_GB2312" w:hAnsi="仿宋_GB2312" w:eastAsia="仿宋_GB2312" w:cs="仿宋_GB2312"/>
          <w:color w:val="000000"/>
          <w:sz w:val="32"/>
          <w:szCs w:val="32"/>
        </w:rPr>
        <w:t>机遇，扎实推进甬金铁路</w:t>
      </w:r>
      <w:r>
        <w:rPr>
          <w:rFonts w:hint="eastAsia" w:ascii="仿宋_GB2312" w:hAnsi="仿宋_GB2312" w:eastAsia="仿宋_GB2312" w:cs="仿宋_GB2312"/>
          <w:color w:val="000000"/>
          <w:sz w:val="32"/>
          <w:szCs w:val="32"/>
          <w:lang w:val="en-US" w:eastAsia="zh-CN"/>
        </w:rPr>
        <w:t>新建</w:t>
      </w:r>
      <w:r>
        <w:rPr>
          <w:rFonts w:hint="eastAsia" w:ascii="仿宋_GB2312" w:hAnsi="仿宋_GB2312" w:eastAsia="仿宋_GB2312" w:cs="仿宋_GB2312"/>
          <w:color w:val="000000"/>
          <w:sz w:val="32"/>
          <w:szCs w:val="32"/>
        </w:rPr>
        <w:t>、甬台温改扩建、奉化站</w:t>
      </w:r>
      <w:r>
        <w:rPr>
          <w:rFonts w:hint="eastAsia" w:ascii="仿宋_GB2312" w:hAnsi="仿宋_GB2312" w:eastAsia="仿宋_GB2312" w:cs="仿宋_GB2312"/>
          <w:color w:val="000000"/>
          <w:sz w:val="32"/>
          <w:szCs w:val="32"/>
          <w:lang w:val="en-US" w:eastAsia="zh-CN"/>
        </w:rPr>
        <w:t>改扩建</w:t>
      </w:r>
      <w:r>
        <w:rPr>
          <w:rFonts w:hint="eastAsia" w:ascii="仿宋_GB2312" w:hAnsi="仿宋_GB2312" w:eastAsia="仿宋_GB2312" w:cs="仿宋_GB2312"/>
          <w:color w:val="000000"/>
          <w:sz w:val="32"/>
          <w:szCs w:val="32"/>
        </w:rPr>
        <w:t>等重大交通项目，宁波南部交通枢纽</w:t>
      </w:r>
      <w:r>
        <w:rPr>
          <w:rFonts w:hint="eastAsia" w:ascii="仿宋_GB2312" w:hAnsi="仿宋_GB2312" w:eastAsia="仿宋_GB2312" w:cs="仿宋_GB2312"/>
          <w:color w:val="000000"/>
          <w:sz w:val="32"/>
          <w:szCs w:val="32"/>
          <w:lang w:val="en-US" w:eastAsia="zh-CN"/>
        </w:rPr>
        <w:t>布局持续优化</w:t>
      </w:r>
      <w:r>
        <w:rPr>
          <w:rFonts w:hint="eastAsia" w:ascii="仿宋_GB2312" w:hAnsi="仿宋_GB2312" w:eastAsia="仿宋_GB2312" w:cs="仿宋_GB2312"/>
          <w:color w:val="000000"/>
          <w:sz w:val="32"/>
          <w:szCs w:val="32"/>
        </w:rPr>
        <w:t>。加速同城一体化融入，</w:t>
      </w:r>
      <w:r>
        <w:rPr>
          <w:rFonts w:hint="eastAsia" w:ascii="仿宋_GB2312" w:hAnsi="仿宋_GB2312" w:eastAsia="仿宋_GB2312" w:cs="仿宋_GB2312"/>
          <w:color w:val="000000"/>
          <w:spacing w:val="11"/>
          <w:sz w:val="32"/>
          <w:szCs w:val="32"/>
        </w:rPr>
        <w:t>启动宁波大道、东海大道奉化段以及奉化大道等快</w:t>
      </w:r>
      <w:r>
        <w:rPr>
          <w:rFonts w:hint="eastAsia" w:ascii="仿宋_GB2312" w:hAnsi="仿宋_GB2312" w:eastAsia="仿宋_GB2312" w:cs="仿宋_GB2312"/>
          <w:color w:val="000000"/>
          <w:sz w:val="32"/>
          <w:szCs w:val="32"/>
        </w:rPr>
        <w:t>速路工程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11"/>
          <w:sz w:val="32"/>
          <w:szCs w:val="32"/>
        </w:rPr>
        <w:t>加快S203、S310、S312等国省道建设</w:t>
      </w:r>
      <w:r>
        <w:rPr>
          <w:rFonts w:hint="eastAsia" w:ascii="仿宋_GB2312" w:hAnsi="仿宋_GB2312" w:eastAsia="仿宋_GB2312" w:cs="仿宋_GB2312"/>
          <w:color w:val="000000"/>
          <w:sz w:val="32"/>
          <w:szCs w:val="32"/>
        </w:rPr>
        <w:t>，同城“半小时通勤圈”基本建成。</w:t>
      </w:r>
      <w:r>
        <w:rPr>
          <w:rFonts w:hint="eastAsia" w:ascii="仿宋_GB2312" w:hAnsi="仿宋_GB2312" w:eastAsia="仿宋_GB2312" w:cs="仿宋_GB2312"/>
          <w:b/>
          <w:bCs/>
          <w:color w:val="000000"/>
          <w:sz w:val="32"/>
          <w:szCs w:val="32"/>
        </w:rPr>
        <w:t>城市品质持续</w:t>
      </w:r>
      <w:r>
        <w:rPr>
          <w:rFonts w:hint="eastAsia" w:ascii="仿宋_GB2312" w:hAnsi="仿宋_GB2312" w:eastAsia="仿宋_GB2312" w:cs="仿宋_GB2312"/>
          <w:b/>
          <w:bCs/>
          <w:color w:val="000000"/>
          <w:spacing w:val="6"/>
          <w:sz w:val="32"/>
          <w:szCs w:val="32"/>
        </w:rPr>
        <w:t>提升。</w:t>
      </w:r>
      <w:r>
        <w:rPr>
          <w:rFonts w:hint="eastAsia" w:ascii="仿宋_GB2312" w:hAnsi="仿宋_GB2312" w:eastAsia="仿宋_GB2312" w:cs="仿宋_GB2312"/>
          <w:color w:val="000000"/>
          <w:sz w:val="32"/>
          <w:szCs w:val="32"/>
        </w:rPr>
        <w:t>主动承接区域性功能项目，市第一医院方桥院区、浙江药科职业大学、宁职院一期正式投用，市公共卫生临床中</w:t>
      </w:r>
      <w:r>
        <w:rPr>
          <w:rFonts w:hint="eastAsia" w:ascii="仿宋_GB2312" w:hAnsi="仿宋_GB2312" w:eastAsia="仿宋_GB2312" w:cs="仿宋_GB2312"/>
          <w:color w:val="000000"/>
          <w:spacing w:val="-6"/>
          <w:sz w:val="32"/>
          <w:szCs w:val="32"/>
        </w:rPr>
        <w:t>心、宁职院二期加快建设</w:t>
      </w:r>
      <w:r>
        <w:rPr>
          <w:rFonts w:hint="eastAsia" w:ascii="仿宋_GB2312" w:hAnsi="仿宋_GB2312" w:eastAsia="仿宋_GB2312" w:cs="仿宋_GB2312"/>
          <w:color w:val="000000"/>
          <w:spacing w:val="-6"/>
          <w:sz w:val="32"/>
          <w:szCs w:val="32"/>
          <w:highlight w:val="none"/>
        </w:rPr>
        <w:t>，宁大医学部方桥</w:t>
      </w:r>
      <w:r>
        <w:rPr>
          <w:rFonts w:hint="eastAsia" w:ascii="仿宋_GB2312" w:hAnsi="仿宋_GB2312" w:eastAsia="仿宋_GB2312" w:cs="仿宋_GB2312"/>
          <w:color w:val="000000"/>
          <w:spacing w:val="-6"/>
          <w:sz w:val="32"/>
          <w:szCs w:val="32"/>
          <w:highlight w:val="none"/>
          <w:lang w:val="en-US" w:eastAsia="zh-CN"/>
        </w:rPr>
        <w:t>校区</w:t>
      </w:r>
      <w:r>
        <w:rPr>
          <w:rFonts w:hint="eastAsia" w:ascii="仿宋_GB2312" w:hAnsi="仿宋_GB2312" w:eastAsia="仿宋_GB2312" w:cs="仿宋_GB2312"/>
          <w:color w:val="000000"/>
          <w:spacing w:val="-6"/>
          <w:sz w:val="32"/>
          <w:szCs w:val="32"/>
        </w:rPr>
        <w:t>落地批复。以全域国土空间整治为牵引，</w:t>
      </w:r>
      <w:r>
        <w:rPr>
          <w:rFonts w:hint="eastAsia" w:ascii="仿宋_GB2312" w:hAnsi="仿宋_GB2312" w:eastAsia="仿宋_GB2312" w:cs="仿宋_GB2312"/>
          <w:color w:val="000000"/>
          <w:sz w:val="32"/>
          <w:szCs w:val="32"/>
        </w:rPr>
        <w:t>着力推进宁南田园城市和西坞—岳林省级跨乡镇整治试点，打造“万亩方”2个、“千亩方”8个；加快中信云谷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白杜循环经济产业园</w:t>
      </w:r>
      <w:r>
        <w:rPr>
          <w:rFonts w:hint="eastAsia" w:ascii="仿宋_GB2312" w:hAnsi="仿宋_GB2312" w:eastAsia="仿宋_GB2312" w:cs="仿宋_GB2312"/>
          <w:color w:val="000000"/>
          <w:sz w:val="32"/>
          <w:szCs w:val="32"/>
        </w:rPr>
        <w:t>等一批产业园改造提升，全域土地综合整治获省级督查激励。</w:t>
      </w:r>
      <w:r>
        <w:rPr>
          <w:rFonts w:hint="eastAsia" w:ascii="仿宋_GB2312" w:hAnsi="仿宋_GB2312" w:eastAsia="仿宋_GB2312" w:cs="仿宋_GB2312"/>
          <w:b/>
          <w:bCs/>
          <w:color w:val="000000"/>
          <w:spacing w:val="6"/>
          <w:sz w:val="32"/>
          <w:szCs w:val="32"/>
        </w:rPr>
        <w:t>镇村风貌加速蝶变。</w:t>
      </w:r>
      <w:r>
        <w:rPr>
          <w:rFonts w:hint="eastAsia" w:ascii="仿宋_GB2312" w:hAnsi="仿宋_GB2312" w:eastAsia="仿宋_GB2312" w:cs="仿宋_GB2312"/>
          <w:color w:val="000000"/>
          <w:sz w:val="32"/>
          <w:szCs w:val="32"/>
        </w:rPr>
        <w:t>一体推进城市拆迁和农房改造，“十四五”以来完成城市拆迁</w:t>
      </w:r>
      <w:r>
        <w:rPr>
          <w:rFonts w:hint="eastAsia" w:ascii="仿宋_GB2312" w:hAnsi="仿宋_GB2312" w:eastAsia="仿宋_GB2312" w:cs="仿宋_GB2312"/>
          <w:color w:val="000000"/>
          <w:spacing w:val="-6"/>
          <w:sz w:val="32"/>
          <w:szCs w:val="32"/>
        </w:rPr>
        <w:t>820万方，农房拆旧3854亩、建新2480亩。</w:t>
      </w:r>
      <w:r>
        <w:rPr>
          <w:rFonts w:hint="eastAsia" w:ascii="仿宋_GB2312" w:hAnsi="仿宋_GB2312" w:eastAsia="仿宋_GB2312" w:cs="仿宋_GB2312"/>
          <w:color w:val="000000"/>
          <w:spacing w:val="6"/>
          <w:sz w:val="32"/>
          <w:szCs w:val="32"/>
        </w:rPr>
        <w:t>乡村道路不断升级，“四季缤纷”“桃花盛</w:t>
      </w:r>
      <w:r>
        <w:rPr>
          <w:rFonts w:hint="eastAsia" w:ascii="仿宋_GB2312" w:hAnsi="仿宋_GB2312" w:eastAsia="仿宋_GB2312" w:cs="仿宋_GB2312"/>
          <w:color w:val="000000"/>
          <w:sz w:val="32"/>
          <w:szCs w:val="32"/>
        </w:rPr>
        <w:t>开”</w:t>
      </w:r>
      <w:r>
        <w:rPr>
          <w:rFonts w:hint="eastAsia" w:ascii="仿宋_GB2312" w:hAnsi="仿宋_GB2312" w:eastAsia="仿宋_GB2312" w:cs="仿宋_GB2312"/>
          <w:color w:val="000000"/>
          <w:spacing w:val="6"/>
          <w:sz w:val="32"/>
          <w:szCs w:val="32"/>
        </w:rPr>
        <w:t>入围省级精品线路，名山风景线、明山剡水风景线获宁波最美</w:t>
      </w:r>
      <w:r>
        <w:rPr>
          <w:rFonts w:hint="eastAsia" w:ascii="仿宋_GB2312" w:hAnsi="仿宋_GB2312" w:eastAsia="仿宋_GB2312" w:cs="仿宋_GB2312"/>
          <w:color w:val="000000"/>
          <w:sz w:val="32"/>
          <w:szCs w:val="32"/>
        </w:rPr>
        <w:t>精品线路称号，尚界线获评宁波“十大美丽农村路”，成功创建全国“四好农村路”示范区。乡村创建成效显著，滕头、青云等4个村创成省级未来乡村，长岭、缪家等5个村入选省级美丽乡村</w:t>
      </w:r>
      <w:r>
        <w:rPr>
          <w:rFonts w:hint="eastAsia" w:ascii="仿宋_GB2312" w:hAnsi="仿宋_GB2312" w:eastAsia="仿宋_GB2312" w:cs="仿宋_GB2312"/>
          <w:color w:val="000000"/>
          <w:spacing w:val="6"/>
          <w:sz w:val="32"/>
          <w:szCs w:val="32"/>
        </w:rPr>
        <w:t>特色精品村，鹊岙、东姜坑村获评省级美丽宜居示范优秀村</w:t>
      </w:r>
      <w:r>
        <w:rPr>
          <w:rFonts w:hint="eastAsia" w:ascii="仿宋_GB2312" w:hAnsi="仿宋_GB2312" w:eastAsia="仿宋_GB2312" w:cs="仿宋_GB2312"/>
          <w:color w:val="000000"/>
          <w:sz w:val="32"/>
          <w:szCs w:val="32"/>
        </w:rPr>
        <w:t>庄，鸣雁、东岙、上白村获评省级“一村万树”示范村，青云村入选</w:t>
      </w:r>
      <w:r>
        <w:rPr>
          <w:rFonts w:hint="eastAsia" w:ascii="仿宋_GB2312" w:hAnsi="仿宋_GB2312" w:eastAsia="仿宋_GB2312" w:cs="仿宋_GB2312"/>
          <w:color w:val="000000"/>
          <w:sz w:val="32"/>
          <w:szCs w:val="32"/>
          <w:lang w:val="en-US" w:eastAsia="zh-CN"/>
        </w:rPr>
        <w:t>全省首</w:t>
      </w:r>
      <w:r>
        <w:rPr>
          <w:rFonts w:hint="eastAsia" w:ascii="仿宋_GB2312" w:hAnsi="仿宋_GB2312" w:eastAsia="仿宋_GB2312" w:cs="仿宋_GB2312"/>
          <w:color w:val="000000"/>
          <w:sz w:val="32"/>
          <w:szCs w:val="32"/>
        </w:rPr>
        <w:t>批金3A景区村培育名单，</w:t>
      </w:r>
      <w:r>
        <w:rPr>
          <w:rFonts w:hint="eastAsia" w:ascii="仿宋_GB2312" w:hAnsi="仿宋_GB2312" w:eastAsia="仿宋_GB2312" w:cs="仿宋_GB2312"/>
          <w:color w:val="000000"/>
          <w:sz w:val="32"/>
          <w:szCs w:val="32"/>
          <w:lang w:val="en-US" w:eastAsia="zh-CN"/>
        </w:rPr>
        <w:t>累计</w:t>
      </w:r>
      <w:r>
        <w:rPr>
          <w:rFonts w:hint="eastAsia" w:ascii="仿宋_GB2312" w:hAnsi="仿宋_GB2312" w:eastAsia="仿宋_GB2312" w:cs="仿宋_GB2312"/>
          <w:color w:val="000000"/>
          <w:sz w:val="32"/>
          <w:szCs w:val="32"/>
        </w:rPr>
        <w:t>获评</w:t>
      </w:r>
      <w:r>
        <w:rPr>
          <w:rFonts w:hint="eastAsia" w:ascii="仿宋_GB2312" w:hAnsi="仿宋_GB2312" w:eastAsia="仿宋_GB2312" w:cs="仿宋_GB2312"/>
          <w:color w:val="000000"/>
          <w:spacing w:val="6"/>
          <w:sz w:val="32"/>
          <w:szCs w:val="32"/>
        </w:rPr>
        <w:t>省推动农民农村共同富裕成绩突出集体等省级以上荣誉22项。</w:t>
      </w:r>
    </w:p>
    <w:p>
      <w:pPr>
        <w:widowControl w:val="0"/>
        <w:numPr>
          <w:ilvl w:val="0"/>
          <w:numId w:val="1"/>
        </w:num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公共服务持续优化，共同富裕品质升级</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全面启动新一轮高质量民生同城化行动，推进服务高质</w:t>
      </w:r>
      <w:r>
        <w:rPr>
          <w:rFonts w:hint="eastAsia" w:ascii="仿宋_GB2312" w:hAnsi="仿宋_GB2312" w:eastAsia="仿宋_GB2312" w:cs="仿宋_GB2312"/>
          <w:color w:val="000000"/>
          <w:spacing w:val="6"/>
          <w:sz w:val="32"/>
          <w:szCs w:val="32"/>
        </w:rPr>
        <w:t>量和待遇同城化，全面提升公</w:t>
      </w:r>
      <w:r>
        <w:rPr>
          <w:rFonts w:hint="eastAsia" w:ascii="仿宋_GB2312" w:hAnsi="仿宋_GB2312" w:eastAsia="仿宋_GB2312" w:cs="仿宋_GB2312"/>
          <w:color w:val="000000"/>
          <w:sz w:val="32"/>
          <w:szCs w:val="32"/>
        </w:rPr>
        <w:t>共服务供给质量。</w:t>
      </w:r>
      <w:r>
        <w:rPr>
          <w:rFonts w:hint="eastAsia" w:ascii="仿宋_GB2312" w:hAnsi="仿宋_GB2312" w:eastAsia="仿宋_GB2312" w:cs="仿宋_GB2312"/>
          <w:b/>
          <w:bCs/>
          <w:color w:val="000000"/>
          <w:sz w:val="32"/>
          <w:szCs w:val="32"/>
        </w:rPr>
        <w:t>共富业态加速提振</w:t>
      </w:r>
      <w:r>
        <w:rPr>
          <w:rFonts w:hint="eastAsia" w:ascii="仿宋_GB2312" w:hAnsi="仿宋_GB2312" w:eastAsia="仿宋_GB2312" w:cs="仿宋_GB2312"/>
          <w:b/>
          <w:bCs/>
          <w:color w:val="000000"/>
          <w:spacing w:val="6"/>
          <w:sz w:val="32"/>
          <w:szCs w:val="32"/>
        </w:rPr>
        <w:t>。</w:t>
      </w:r>
      <w:r>
        <w:rPr>
          <w:rFonts w:hint="eastAsia" w:ascii="仿宋_GB2312" w:hAnsi="仿宋_GB2312" w:eastAsia="仿宋_GB2312" w:cs="仿宋_GB2312"/>
          <w:color w:val="000000"/>
          <w:spacing w:val="6"/>
          <w:sz w:val="32"/>
          <w:szCs w:val="32"/>
        </w:rPr>
        <w:t>积极探索镇村联动、村村合作、村企协作新路径，</w:t>
      </w:r>
      <w:r>
        <w:rPr>
          <w:rFonts w:hint="eastAsia" w:ascii="仿宋_GB2312" w:hAnsi="仿宋_GB2312" w:eastAsia="仿宋_GB2312" w:cs="仿宋_GB2312"/>
          <w:color w:val="000000"/>
          <w:sz w:val="32"/>
          <w:szCs w:val="32"/>
        </w:rPr>
        <w:t>深化群英（群团）绘共富、共富工坊、共富方舱等带富模式，形成滕头“康美常青”党建联建、金溪五村共富示范带、“甬荟聚”社企党建联盟等标志性成果，“亲爱的玛丽”直播基地被评为全省首批百家电商直播式“共富工坊”典型案例；2023年上半年城乡居民收入增速全市第一、城乡倍差降至1.59。稳就业保民生有效推动，人</w:t>
      </w:r>
      <w:r>
        <w:rPr>
          <w:rFonts w:hint="eastAsia" w:ascii="仿宋_GB2312" w:hAnsi="仿宋_GB2312" w:eastAsia="仿宋_GB2312" w:cs="仿宋_GB2312"/>
          <w:color w:val="000000"/>
          <w:spacing w:val="6"/>
          <w:sz w:val="32"/>
          <w:szCs w:val="32"/>
        </w:rPr>
        <w:t>力资源服务产业园正式启用，滨海、方桥、溪口零工市场成立运行，</w:t>
      </w:r>
      <w:r>
        <w:rPr>
          <w:rFonts w:hint="eastAsia" w:ascii="仿宋_GB2312" w:hAnsi="仿宋_GB2312" w:eastAsia="仿宋_GB2312" w:cs="仿宋_GB2312"/>
          <w:color w:val="000000"/>
          <w:spacing w:val="6"/>
          <w:sz w:val="32"/>
          <w:szCs w:val="32"/>
          <w:lang w:val="en-US" w:eastAsia="zh-CN"/>
        </w:rPr>
        <w:t>2022年</w:t>
      </w:r>
      <w:r>
        <w:rPr>
          <w:rFonts w:hint="eastAsia" w:ascii="仿宋_GB2312" w:hAnsi="仿宋_GB2312" w:eastAsia="仿宋_GB2312" w:cs="仿宋_GB2312"/>
          <w:color w:val="000000"/>
          <w:spacing w:val="6"/>
          <w:sz w:val="32"/>
          <w:szCs w:val="32"/>
        </w:rPr>
        <w:t>新增城镇就业1.9万人，城镇登记失业率保持1.84%的低水平。“扩中”“提低”改革扎实推进，强村公司实现12个镇（街</w:t>
      </w:r>
      <w:r>
        <w:rPr>
          <w:rFonts w:hint="eastAsia" w:ascii="仿宋_GB2312" w:hAnsi="仿宋_GB2312" w:eastAsia="仿宋_GB2312" w:cs="仿宋_GB2312"/>
          <w:color w:val="000000"/>
          <w:sz w:val="32"/>
          <w:szCs w:val="32"/>
        </w:rPr>
        <w:t>道）全覆盖，全区集体经济总收入50万元以下、经营性收入30万元以下行政村</w:t>
      </w:r>
      <w:r>
        <w:rPr>
          <w:rFonts w:hint="eastAsia" w:ascii="仿宋_GB2312" w:hAnsi="仿宋_GB2312" w:eastAsia="仿宋_GB2312" w:cs="仿宋_GB2312"/>
          <w:sz w:val="32"/>
          <w:szCs w:val="32"/>
        </w:rPr>
        <w:t>“双清零”</w:t>
      </w:r>
      <w:r>
        <w:rPr>
          <w:rFonts w:hint="eastAsia" w:ascii="仿宋_GB2312" w:hAnsi="仿宋_GB2312" w:eastAsia="仿宋_GB2312" w:cs="仿宋_GB2312"/>
          <w:color w:val="000000"/>
          <w:sz w:val="32"/>
          <w:szCs w:val="32"/>
        </w:rPr>
        <w:t>，低收入农户收入增长15%。</w:t>
      </w:r>
      <w:r>
        <w:rPr>
          <w:rFonts w:hint="eastAsia" w:ascii="仿宋_GB2312" w:hAnsi="仿宋_GB2312" w:eastAsia="仿宋_GB2312" w:cs="仿宋_GB2312"/>
          <w:b/>
          <w:bCs/>
          <w:color w:val="000000"/>
          <w:sz w:val="32"/>
          <w:szCs w:val="32"/>
        </w:rPr>
        <w:t>教育事业稳步发展。</w:t>
      </w:r>
      <w:r>
        <w:rPr>
          <w:rFonts w:hint="eastAsia" w:ascii="仿宋_GB2312" w:hAnsi="仿宋_GB2312" w:eastAsia="仿宋_GB2312" w:cs="仿宋_GB2312"/>
          <w:b w:val="0"/>
          <w:bCs w:val="0"/>
          <w:color w:val="000000"/>
          <w:sz w:val="32"/>
          <w:szCs w:val="32"/>
        </w:rPr>
        <w:t>学前教育扩容提质，公办托幼一体化试点持续深化，新增公办幼儿园10所，公办幼儿园在园幼儿占比达到57%，“全国学前教育普及普惠区创建”初步通过省级评估。义务教育加快布局，上师大附属宁波实验学校、浙师大附中、杭师大附属凤鸣未来学校、溪口中心小学等一批重点项目开花结果，5所学校实践案例入选浙江省“双减”优秀实践案例，“全国义务教育优质均衡发展区”通过省级评估。职业教育品质改善，市校企共建紧缺专业1个，获评省级示范基地2项，获评宁波市中职学校第一批职业体验基地创建优秀名单和优秀职业体验项目1个。</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健康奉化”大步</w:t>
      </w:r>
      <w:r>
        <w:rPr>
          <w:rFonts w:hint="eastAsia" w:ascii="仿宋_GB2312" w:hAnsi="仿宋_GB2312" w:eastAsia="仿宋_GB2312" w:cs="仿宋_GB2312"/>
          <w:b/>
          <w:bCs/>
          <w:color w:val="000000"/>
          <w:spacing w:val="-6"/>
          <w:sz w:val="32"/>
          <w:szCs w:val="32"/>
        </w:rPr>
        <w:t>迈进。</w:t>
      </w:r>
      <w:r>
        <w:rPr>
          <w:rFonts w:hint="eastAsia" w:ascii="仿宋_GB2312" w:hAnsi="仿宋_GB2312" w:eastAsia="仿宋_GB2312" w:cs="仿宋_GB2312"/>
          <w:color w:val="000000"/>
          <w:spacing w:val="-6"/>
          <w:sz w:val="32"/>
          <w:szCs w:val="32"/>
          <w:shd w:val="clear" w:color="auto" w:fill="FFFFFF"/>
        </w:rPr>
        <w:t>重点学科加快建设，</w:t>
      </w:r>
      <w:r>
        <w:rPr>
          <w:rFonts w:hint="eastAsia" w:ascii="仿宋_GB2312" w:hAnsi="仿宋_GB2312" w:eastAsia="仿宋_GB2312" w:cs="仿宋_GB2312"/>
          <w:color w:val="000000"/>
          <w:spacing w:val="-6"/>
          <w:sz w:val="32"/>
          <w:szCs w:val="32"/>
        </w:rPr>
        <w:t>区</w:t>
      </w:r>
      <w:r>
        <w:rPr>
          <w:rFonts w:hint="eastAsia" w:ascii="仿宋_GB2312" w:hAnsi="仿宋_GB2312" w:eastAsia="仿宋_GB2312" w:cs="仿宋_GB2312"/>
          <w:color w:val="000000"/>
          <w:sz w:val="32"/>
          <w:szCs w:val="32"/>
        </w:rPr>
        <w:t>人民医院心血管病学科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6"/>
          <w:sz w:val="32"/>
          <w:szCs w:val="32"/>
          <w:shd w:val="clear" w:color="auto" w:fill="FFFFFF"/>
          <w:lang w:val="en-US" w:eastAsia="zh-CN"/>
        </w:rPr>
        <w:t>区中医医院中西医结合呼吸病学科</w:t>
      </w:r>
      <w:r>
        <w:rPr>
          <w:rFonts w:hint="eastAsia" w:ascii="仿宋_GB2312" w:hAnsi="仿宋_GB2312" w:eastAsia="仿宋_GB2312" w:cs="仿宋_GB2312"/>
          <w:color w:val="000000"/>
          <w:sz w:val="32"/>
          <w:szCs w:val="32"/>
        </w:rPr>
        <w:t>获宁波市县共建学科宁波市重点学科，区人民医院妇科、消化内科等一批重点专科获宁波市县级临床重点专科。“三医联动”“六医统筹”集成改革不断强化，积极打造医共体奉化模式。中医药事业加快发展，</w:t>
      </w:r>
      <w:r>
        <w:rPr>
          <w:rFonts w:hint="eastAsia" w:ascii="仿宋_GB2312" w:hAnsi="仿宋_GB2312" w:eastAsia="仿宋_GB2312" w:cs="仿宋_GB2312"/>
          <w:color w:val="000000"/>
          <w:sz w:val="32"/>
          <w:szCs w:val="32"/>
          <w:shd w:val="clear" w:color="auto" w:fill="FFFFFF"/>
        </w:rPr>
        <w:t>引入8个</w:t>
      </w:r>
      <w:r>
        <w:rPr>
          <w:rFonts w:hint="eastAsia" w:ascii="仿宋_GB2312" w:hAnsi="仿宋_GB2312" w:eastAsia="仿宋_GB2312" w:cs="仿宋_GB2312"/>
          <w:color w:val="000000"/>
          <w:spacing w:val="-6"/>
          <w:sz w:val="32"/>
          <w:szCs w:val="32"/>
          <w:shd w:val="clear" w:color="auto" w:fill="FFFFFF"/>
        </w:rPr>
        <w:t>省级以上名中医工作室，搭建“家门口”的省城“名中医诊疗</w:t>
      </w:r>
      <w:r>
        <w:rPr>
          <w:rFonts w:hint="eastAsia" w:ascii="仿宋_GB2312" w:hAnsi="仿宋_GB2312" w:eastAsia="仿宋_GB2312" w:cs="仿宋_GB2312"/>
          <w:color w:val="000000"/>
          <w:sz w:val="32"/>
          <w:szCs w:val="32"/>
          <w:shd w:val="clear" w:color="auto" w:fill="FFFFFF"/>
        </w:rPr>
        <w:t>中心”。</w:t>
      </w:r>
      <w:r>
        <w:rPr>
          <w:rFonts w:hint="eastAsia" w:ascii="仿宋_GB2312" w:hAnsi="仿宋_GB2312" w:eastAsia="仿宋_GB2312" w:cs="仿宋_GB2312"/>
          <w:b/>
          <w:bCs/>
          <w:color w:val="000000"/>
          <w:sz w:val="32"/>
          <w:szCs w:val="32"/>
        </w:rPr>
        <w:t>文体发展持续升温。</w:t>
      </w:r>
      <w:r>
        <w:rPr>
          <w:rFonts w:hint="eastAsia" w:ascii="仿宋_GB2312" w:hAnsi="仿宋_GB2312" w:eastAsia="仿宋_GB2312" w:cs="仿宋_GB2312"/>
          <w:color w:val="000000"/>
          <w:sz w:val="32"/>
          <w:szCs w:val="32"/>
        </w:rPr>
        <w:t>文明创建积极进取，国家级新时代文明实践中心建设试点深入推进，“青鸟探巢”“奉邑十礼”入选省域文明新实践案例，蒋家池头村获评全国最美</w:t>
      </w:r>
      <w:r>
        <w:rPr>
          <w:rFonts w:hint="eastAsia" w:ascii="仿宋_GB2312" w:hAnsi="仿宋_GB2312" w:eastAsia="仿宋_GB2312" w:cs="仿宋_GB2312"/>
          <w:color w:val="000000"/>
          <w:spacing w:val="-6"/>
          <w:sz w:val="32"/>
          <w:szCs w:val="32"/>
        </w:rPr>
        <w:t>志愿服务社区。文化事业蓬勃发展，入选省首批地名文化服务</w:t>
      </w:r>
      <w:r>
        <w:rPr>
          <w:rFonts w:hint="eastAsia" w:ascii="仿宋_GB2312" w:hAnsi="仿宋_GB2312" w:eastAsia="仿宋_GB2312" w:cs="仿宋_GB2312"/>
          <w:color w:val="000000"/>
          <w:sz w:val="32"/>
          <w:szCs w:val="32"/>
        </w:rPr>
        <w:t>与文化建设试点区、省持续深化婚俗改革重点推进区、省文</w:t>
      </w:r>
      <w:r>
        <w:rPr>
          <w:rFonts w:hint="eastAsia" w:ascii="仿宋_GB2312" w:hAnsi="仿宋_GB2312" w:eastAsia="仿宋_GB2312" w:cs="仿宋_GB2312"/>
          <w:color w:val="000000"/>
          <w:spacing w:val="6"/>
          <w:sz w:val="32"/>
          <w:szCs w:val="32"/>
        </w:rPr>
        <w:t>化传承生态保护区；区博物馆荣膺全国博物馆十大陈列</w:t>
      </w:r>
      <w:r>
        <w:rPr>
          <w:rFonts w:hint="eastAsia" w:ascii="仿宋_GB2312" w:hAnsi="仿宋_GB2312" w:eastAsia="仿宋_GB2312" w:cs="仿宋_GB2312"/>
          <w:color w:val="000000"/>
          <w:sz w:val="32"/>
          <w:szCs w:val="32"/>
        </w:rPr>
        <w:t>展</w:t>
      </w:r>
      <w:r>
        <w:rPr>
          <w:rFonts w:hint="eastAsia" w:ascii="仿宋_GB2312" w:hAnsi="仿宋_GB2312" w:eastAsia="仿宋_GB2312" w:cs="仿宋_GB2312"/>
          <w:color w:val="000000"/>
          <w:spacing w:val="6"/>
          <w:sz w:val="32"/>
          <w:szCs w:val="32"/>
        </w:rPr>
        <w:t>览精品奖，联合出品电视剧《问天》荣获全国“五个一工程”</w:t>
      </w:r>
      <w:r>
        <w:rPr>
          <w:rFonts w:hint="eastAsia" w:ascii="仿宋_GB2312" w:hAnsi="仿宋_GB2312" w:eastAsia="仿宋_GB2312" w:cs="仿宋_GB2312"/>
          <w:color w:val="000000"/>
          <w:sz w:val="32"/>
          <w:szCs w:val="32"/>
        </w:rPr>
        <w:t>奖。体育事业大力布局，浪漫“桃花马”获评国家田协铜牌赛事、最美赛道特色赛事，</w:t>
      </w:r>
      <w:r>
        <w:rPr>
          <w:rFonts w:hint="eastAsia" w:ascii="仿宋_GB2312" w:hAnsi="仿宋_GB2312" w:eastAsia="仿宋_GB2312" w:cs="仿宋_GB2312"/>
          <w:color w:val="000000"/>
          <w:sz w:val="32"/>
          <w:szCs w:val="32"/>
          <w:lang w:val="en-US" w:eastAsia="zh-CN"/>
        </w:rPr>
        <w:t>落户</w:t>
      </w:r>
      <w:r>
        <w:rPr>
          <w:rFonts w:hint="eastAsia" w:ascii="仿宋_GB2312" w:hAnsi="仿宋_GB2312" w:eastAsia="仿宋_GB2312" w:cs="仿宋_GB2312"/>
          <w:color w:val="000000"/>
          <w:sz w:val="32"/>
          <w:szCs w:val="32"/>
        </w:rPr>
        <w:t>赛艇、皮划艇国家队训练基地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全力打造国家级水上运动基地，以榜首成绩获评省竞技体育突出贡献奖，入选省首批体育现代化区。</w:t>
      </w:r>
    </w:p>
    <w:p>
      <w:pPr>
        <w:numPr>
          <w:ilvl w:val="0"/>
          <w:numId w:val="1"/>
        </w:num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绿色发展优势厚植，生态</w:t>
      </w:r>
      <w:r>
        <w:rPr>
          <w:rFonts w:hint="eastAsia" w:ascii="仿宋_GB2312" w:hAnsi="仿宋_GB2312" w:eastAsia="仿宋_GB2312" w:cs="仿宋_GB2312"/>
          <w:b/>
          <w:bCs/>
          <w:color w:val="000000"/>
          <w:sz w:val="32"/>
          <w:szCs w:val="32"/>
          <w:lang w:val="en-US" w:eastAsia="zh-CN"/>
        </w:rPr>
        <w:t>名片持续擦亮</w:t>
      </w:r>
    </w:p>
    <w:p>
      <w:pPr>
        <w:spacing w:line="580" w:lineRule="exact"/>
        <w:ind w:firstLine="616" w:firstLineChars="200"/>
        <w:rPr>
          <w:rFonts w:hint="eastAsia" w:ascii="仿宋_GB2312" w:hAnsi="仿宋_GB2312" w:eastAsia="仿宋_GB2312" w:cs="仿宋_GB2312"/>
          <w:color w:val="000000"/>
          <w:sz w:val="32"/>
          <w:szCs w:val="32"/>
          <w:highlight w:val="magenta"/>
        </w:rPr>
      </w:pPr>
      <w:r>
        <w:rPr>
          <w:rFonts w:hint="eastAsia" w:ascii="仿宋_GB2312" w:hAnsi="仿宋_GB2312" w:eastAsia="仿宋_GB2312" w:cs="仿宋_GB2312"/>
          <w:color w:val="000000"/>
          <w:spacing w:val="-6"/>
          <w:sz w:val="32"/>
          <w:szCs w:val="32"/>
        </w:rPr>
        <w:t>“十四五”以来，</w:t>
      </w:r>
      <w:r>
        <w:rPr>
          <w:rFonts w:hint="eastAsia" w:ascii="仿宋_GB2312" w:hAnsi="仿宋_GB2312" w:eastAsia="仿宋_GB2312" w:cs="仿宋_GB2312"/>
          <w:color w:val="000000"/>
          <w:spacing w:val="-6"/>
          <w:sz w:val="32"/>
          <w:szCs w:val="32"/>
          <w:lang w:val="en-US" w:eastAsia="zh-CN"/>
        </w:rPr>
        <w:t>为完整准确全面贯彻新发展理念做好碳达峰碳中和工作，</w:t>
      </w:r>
      <w:r>
        <w:rPr>
          <w:rFonts w:hint="eastAsia" w:ascii="仿宋_GB2312" w:hAnsi="仿宋_GB2312" w:eastAsia="仿宋_GB2312" w:cs="仿宋_GB2312"/>
          <w:color w:val="000000"/>
          <w:spacing w:val="-6"/>
          <w:sz w:val="32"/>
          <w:szCs w:val="32"/>
        </w:rPr>
        <w:t>加快打通“绿水青山就是金山银山”的</w:t>
      </w:r>
      <w:r>
        <w:rPr>
          <w:rFonts w:hint="eastAsia" w:ascii="仿宋_GB2312" w:hAnsi="仿宋_GB2312" w:eastAsia="仿宋_GB2312" w:cs="仿宋_GB2312"/>
          <w:color w:val="000000"/>
          <w:sz w:val="32"/>
          <w:szCs w:val="32"/>
        </w:rPr>
        <w:t>转化通道，协同打好蓝天、碧水、净土、清废、降碳五大战</w:t>
      </w:r>
      <w:r>
        <w:rPr>
          <w:rFonts w:hint="eastAsia" w:ascii="仿宋_GB2312" w:hAnsi="仿宋_GB2312" w:eastAsia="仿宋_GB2312" w:cs="仿宋_GB2312"/>
          <w:color w:val="000000"/>
          <w:spacing w:val="-6"/>
          <w:sz w:val="32"/>
          <w:szCs w:val="32"/>
        </w:rPr>
        <w:t>役，让绿色成为美丽奉化最靓丽的标识、最鲜明的底色</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pacing w:val="6"/>
          <w:sz w:val="32"/>
          <w:szCs w:val="32"/>
        </w:rPr>
        <w:t>绿色发展稳步见效。</w:t>
      </w:r>
      <w:r>
        <w:rPr>
          <w:rFonts w:hint="eastAsia" w:ascii="仿宋_GB2312" w:hAnsi="仿宋_GB2312" w:eastAsia="仿宋_GB2312" w:cs="仿宋_GB2312"/>
          <w:color w:val="000000"/>
          <w:spacing w:val="6"/>
          <w:sz w:val="32"/>
          <w:szCs w:val="32"/>
        </w:rPr>
        <w:t>严格遏制</w:t>
      </w:r>
      <w:r>
        <w:rPr>
          <w:rFonts w:hint="eastAsia" w:ascii="仿宋_GB2312" w:hAnsi="仿宋_GB2312" w:eastAsia="仿宋_GB2312" w:cs="仿宋_GB2312"/>
          <w:color w:val="000000"/>
          <w:sz w:val="32"/>
          <w:szCs w:val="32"/>
        </w:rPr>
        <w:t>“两高”项目盲目发展，区医疗</w:t>
      </w:r>
      <w:r>
        <w:rPr>
          <w:rFonts w:hint="eastAsia" w:ascii="仿宋_GB2312" w:hAnsi="仿宋_GB2312" w:eastAsia="仿宋_GB2312" w:cs="仿宋_GB2312"/>
          <w:color w:val="000000"/>
          <w:spacing w:val="-6"/>
          <w:sz w:val="32"/>
          <w:szCs w:val="32"/>
        </w:rPr>
        <w:t>健康综合体、宁波湾文体中心等</w:t>
      </w:r>
      <w:r>
        <w:rPr>
          <w:rFonts w:hint="eastAsia" w:ascii="仿宋_GB2312" w:hAnsi="仿宋_GB2312" w:eastAsia="仿宋_GB2312" w:cs="仿宋_GB2312"/>
          <w:color w:val="000000"/>
          <w:spacing w:val="-6"/>
          <w:sz w:val="32"/>
          <w:szCs w:val="32"/>
          <w:lang w:val="en-US" w:eastAsia="zh-CN"/>
        </w:rPr>
        <w:t>50</w:t>
      </w:r>
      <w:r>
        <w:rPr>
          <w:rFonts w:hint="eastAsia" w:ascii="仿宋_GB2312" w:hAnsi="仿宋_GB2312" w:eastAsia="仿宋_GB2312" w:cs="仿宋_GB2312"/>
          <w:color w:val="000000"/>
          <w:spacing w:val="-6"/>
          <w:sz w:val="32"/>
          <w:szCs w:val="32"/>
        </w:rPr>
        <w:t>个项目达到二星级绿色建筑</w:t>
      </w:r>
      <w:r>
        <w:rPr>
          <w:rFonts w:hint="eastAsia" w:ascii="仿宋_GB2312" w:hAnsi="仿宋_GB2312" w:eastAsia="仿宋_GB2312" w:cs="仿宋_GB2312"/>
          <w:color w:val="000000"/>
          <w:spacing w:val="6"/>
          <w:sz w:val="32"/>
          <w:szCs w:val="32"/>
        </w:rPr>
        <w:t>标准，新增绿色产品认证证书4张、</w:t>
      </w:r>
      <w:r>
        <w:rPr>
          <w:rFonts w:hint="eastAsia" w:ascii="仿宋_GB2312" w:hAnsi="仿宋_GB2312" w:eastAsia="仿宋_GB2312" w:cs="仿宋_GB2312"/>
          <w:color w:val="000000"/>
          <w:sz w:val="32"/>
          <w:szCs w:val="32"/>
        </w:rPr>
        <w:t>绿色产品认证企业3家，持续保持“无煤”区域成效。</w:t>
      </w:r>
      <w:r>
        <w:rPr>
          <w:rFonts w:hint="eastAsia" w:ascii="仿宋_GB2312" w:hAnsi="仿宋_GB2312" w:eastAsia="仿宋_GB2312" w:cs="仿宋_GB2312"/>
          <w:b/>
          <w:bCs/>
          <w:color w:val="000000"/>
          <w:sz w:val="32"/>
          <w:szCs w:val="32"/>
        </w:rPr>
        <w:t>生态建设加快提级。</w:t>
      </w:r>
      <w:r>
        <w:rPr>
          <w:rFonts w:hint="eastAsia" w:ascii="仿宋_GB2312" w:hAnsi="仿宋_GB2312" w:eastAsia="仿宋_GB2312" w:cs="仿宋_GB2312"/>
          <w:color w:val="000000"/>
          <w:sz w:val="32"/>
          <w:szCs w:val="32"/>
        </w:rPr>
        <w:t>打造明山剡水、云上连山等“精特亮”项目，获评“中国最美绿水青山生态名城”。</w:t>
      </w:r>
      <w:r>
        <w:rPr>
          <w:rFonts w:hint="eastAsia" w:ascii="仿宋_GB2312" w:hAnsi="仿宋_GB2312" w:eastAsia="仿宋_GB2312" w:cs="仿宋_GB2312"/>
          <w:color w:val="000000"/>
          <w:spacing w:val="6"/>
          <w:sz w:val="32"/>
          <w:szCs w:val="32"/>
        </w:rPr>
        <w:t>全国首个生态环境教育</w:t>
      </w:r>
      <w:r>
        <w:rPr>
          <w:rFonts w:hint="eastAsia" w:ascii="仿宋_GB2312" w:hAnsi="仿宋_GB2312" w:eastAsia="仿宋_GB2312" w:cs="仿宋_GB2312"/>
          <w:color w:val="000000"/>
          <w:sz w:val="32"/>
          <w:szCs w:val="32"/>
        </w:rPr>
        <w:t>特色镇试点项目落户大堰镇，畅通“两山”路径</w:t>
      </w:r>
      <w:r>
        <w:rPr>
          <w:rFonts w:hint="eastAsia" w:ascii="仿宋_GB2312" w:hAnsi="仿宋_GB2312" w:eastAsia="仿宋_GB2312" w:cs="仿宋_GB2312"/>
          <w:color w:val="000000"/>
          <w:sz w:val="32"/>
          <w:szCs w:val="32"/>
          <w:lang w:val="en-US" w:eastAsia="zh-CN"/>
        </w:rPr>
        <w:t>转化</w:t>
      </w:r>
      <w:r>
        <w:rPr>
          <w:rFonts w:hint="eastAsia" w:ascii="仿宋_GB2312" w:hAnsi="仿宋_GB2312" w:eastAsia="仿宋_GB2312" w:cs="仿宋_GB2312"/>
          <w:color w:val="000000"/>
          <w:sz w:val="32"/>
          <w:szCs w:val="32"/>
        </w:rPr>
        <w:t>机制，成为</w:t>
      </w:r>
      <w:r>
        <w:rPr>
          <w:rFonts w:hint="eastAsia" w:ascii="仿宋_GB2312" w:hAnsi="仿宋_GB2312" w:eastAsia="仿宋_GB2312" w:cs="仿宋_GB2312"/>
          <w:color w:val="000000"/>
          <w:spacing w:val="6"/>
          <w:sz w:val="32"/>
          <w:szCs w:val="32"/>
        </w:rPr>
        <w:t>奉化生态文化建设的“金名片”之一。</w:t>
      </w:r>
      <w:r>
        <w:rPr>
          <w:rFonts w:hint="eastAsia" w:ascii="仿宋_GB2312" w:hAnsi="仿宋_GB2312" w:eastAsia="仿宋_GB2312" w:cs="仿宋_GB2312"/>
          <w:b/>
          <w:bCs/>
          <w:color w:val="000000"/>
          <w:sz w:val="32"/>
          <w:szCs w:val="32"/>
        </w:rPr>
        <w:t>生态治理成效明显。</w:t>
      </w:r>
      <w:r>
        <w:rPr>
          <w:rFonts w:hint="eastAsia" w:ascii="仿宋_GB2312" w:hAnsi="仿宋_GB2312" w:eastAsia="仿宋_GB2312" w:cs="仿宋_GB2312"/>
          <w:color w:val="000000"/>
          <w:sz w:val="32"/>
          <w:szCs w:val="32"/>
        </w:rPr>
        <w:t>严格落实蓝天行动，细颗粒物PM</w:t>
      </w:r>
      <w:r>
        <w:rPr>
          <w:rFonts w:hint="eastAsia" w:ascii="仿宋_GB2312" w:hAnsi="仿宋_GB2312" w:eastAsia="仿宋_GB2312" w:cs="仿宋_GB2312"/>
          <w:color w:val="000000"/>
          <w:sz w:val="32"/>
          <w:szCs w:val="32"/>
          <w:vertAlign w:val="subscript"/>
        </w:rPr>
        <w:t>2.5</w:t>
      </w:r>
      <w:r>
        <w:rPr>
          <w:rFonts w:hint="eastAsia" w:ascii="仿宋_GB2312" w:hAnsi="仿宋_GB2312" w:eastAsia="仿宋_GB2312" w:cs="仿宋_GB2312"/>
          <w:color w:val="000000"/>
          <w:sz w:val="32"/>
          <w:szCs w:val="32"/>
        </w:rPr>
        <w:t>、臭氧浓度、空气质量优良天数比例等三项指标</w:t>
      </w:r>
      <w:r>
        <w:rPr>
          <w:rFonts w:hint="eastAsia" w:ascii="仿宋_GB2312" w:hAnsi="仿宋_GB2312" w:eastAsia="仿宋_GB2312" w:cs="仿宋_GB2312"/>
          <w:color w:val="000000"/>
          <w:sz w:val="32"/>
          <w:szCs w:val="32"/>
          <w:lang w:val="en-US" w:eastAsia="zh-CN"/>
        </w:rPr>
        <w:t>位居全市前列</w:t>
      </w:r>
      <w:r>
        <w:rPr>
          <w:rFonts w:hint="eastAsia" w:ascii="仿宋_GB2312" w:hAnsi="仿宋_GB2312" w:eastAsia="仿宋_GB2312" w:cs="仿宋_GB2312"/>
          <w:color w:val="000000"/>
          <w:sz w:val="32"/>
          <w:szCs w:val="32"/>
        </w:rPr>
        <w:t>。深入实施碧水行动，仁湖、剡江、县江、东江等4条河湖被评为</w:t>
      </w:r>
      <w:r>
        <w:rPr>
          <w:rFonts w:hint="eastAsia" w:ascii="仿宋_GB2312" w:hAnsi="仿宋_GB2312" w:eastAsia="仿宋_GB2312" w:cs="仿宋_GB2312"/>
          <w:color w:val="000000"/>
          <w:spacing w:val="6"/>
          <w:sz w:val="32"/>
          <w:szCs w:val="32"/>
        </w:rPr>
        <w:t>省级美丽河湖，15个县控以上断面地表水优良率、地表水环</w:t>
      </w:r>
      <w:r>
        <w:rPr>
          <w:rFonts w:hint="eastAsia" w:ascii="仿宋_GB2312" w:hAnsi="仿宋_GB2312" w:eastAsia="仿宋_GB2312" w:cs="仿宋_GB2312"/>
          <w:color w:val="000000"/>
          <w:sz w:val="32"/>
          <w:szCs w:val="32"/>
        </w:rPr>
        <w:t>境功能区达标率、饮用水水源地水质达标率常年保持100%，农村生活污水治理相关经验做法成为全国基层改革创新优秀案例，成功获省“大禹鼎”金鼎。“无废城市”加快创建，获评省级四星级“无废城市”荣誉称号。</w:t>
      </w:r>
    </w:p>
    <w:p>
      <w:pPr>
        <w:numPr>
          <w:ilvl w:val="0"/>
          <w:numId w:val="1"/>
        </w:numPr>
        <w:spacing w:line="580" w:lineRule="exact"/>
        <w:ind w:firstLine="667" w:firstLineChars="200"/>
        <w:rPr>
          <w:rFonts w:hint="eastAsia" w:ascii="仿宋_GB2312" w:hAnsi="仿宋_GB2312" w:eastAsia="仿宋_GB2312" w:cs="仿宋_GB2312"/>
          <w:b/>
          <w:bCs/>
          <w:color w:val="000000"/>
          <w:spacing w:val="6"/>
          <w:sz w:val="32"/>
          <w:szCs w:val="32"/>
        </w:rPr>
      </w:pPr>
      <w:r>
        <w:rPr>
          <w:rFonts w:hint="eastAsia" w:ascii="仿宋_GB2312" w:hAnsi="仿宋_GB2312" w:eastAsia="仿宋_GB2312" w:cs="仿宋_GB2312"/>
          <w:b/>
          <w:bCs/>
          <w:color w:val="000000"/>
          <w:spacing w:val="6"/>
          <w:sz w:val="32"/>
          <w:szCs w:val="32"/>
        </w:rPr>
        <w:t>整体智治水平提升，高效协同治理体系逐步构建</w:t>
      </w:r>
    </w:p>
    <w:p>
      <w:pPr>
        <w:spacing w:line="580" w:lineRule="exact"/>
        <w:ind w:firstLine="61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6"/>
          <w:sz w:val="32"/>
          <w:szCs w:val="32"/>
        </w:rPr>
        <w:t>“十四五”以来，社会治理体制机制不断完善，治理现代</w:t>
      </w:r>
      <w:r>
        <w:rPr>
          <w:rFonts w:hint="eastAsia" w:ascii="仿宋_GB2312" w:hAnsi="仿宋_GB2312" w:eastAsia="仿宋_GB2312" w:cs="仿宋_GB2312"/>
          <w:color w:val="000000"/>
          <w:spacing w:val="6"/>
          <w:sz w:val="32"/>
          <w:szCs w:val="32"/>
        </w:rPr>
        <w:t>化与人的现代化同步推进，法治奉化、平安奉化基础不断夯实</w:t>
      </w:r>
      <w:r>
        <w:rPr>
          <w:rFonts w:hint="eastAsia" w:ascii="仿宋_GB2312" w:hAnsi="仿宋_GB2312" w:eastAsia="仿宋_GB2312" w:cs="仿宋_GB2312"/>
          <w:color w:val="000000"/>
          <w:sz w:val="32"/>
          <w:szCs w:val="32"/>
        </w:rPr>
        <w:t>，基</w:t>
      </w:r>
      <w:r>
        <w:rPr>
          <w:rFonts w:hint="eastAsia" w:ascii="仿宋_GB2312" w:hAnsi="仿宋_GB2312" w:eastAsia="仿宋_GB2312" w:cs="仿宋_GB2312"/>
          <w:color w:val="000000"/>
          <w:spacing w:val="6"/>
          <w:sz w:val="32"/>
          <w:szCs w:val="32"/>
        </w:rPr>
        <w:t>本构建</w:t>
      </w:r>
      <w:r>
        <w:rPr>
          <w:rFonts w:hint="eastAsia" w:ascii="仿宋_GB2312" w:hAnsi="仿宋_GB2312" w:eastAsia="仿宋_GB2312" w:cs="仿宋_GB2312"/>
          <w:color w:val="000000"/>
          <w:sz w:val="32"/>
          <w:szCs w:val="32"/>
        </w:rPr>
        <w:t>了共建共治共享的社会治理格局。</w:t>
      </w:r>
      <w:r>
        <w:rPr>
          <w:rFonts w:hint="eastAsia" w:ascii="仿宋_GB2312" w:hAnsi="仿宋_GB2312" w:eastAsia="仿宋_GB2312" w:cs="仿宋_GB2312"/>
          <w:b/>
          <w:bCs/>
          <w:color w:val="000000"/>
          <w:sz w:val="32"/>
          <w:szCs w:val="32"/>
        </w:rPr>
        <w:t>区域社会</w:t>
      </w:r>
      <w:r>
        <w:rPr>
          <w:rFonts w:hint="eastAsia" w:ascii="仿宋_GB2312" w:hAnsi="仿宋_GB2312" w:eastAsia="仿宋_GB2312" w:cs="仿宋_GB2312"/>
          <w:b/>
          <w:bCs/>
          <w:color w:val="000000"/>
          <w:spacing w:val="6"/>
          <w:sz w:val="32"/>
          <w:szCs w:val="32"/>
        </w:rPr>
        <w:t>治理现代化水平提升。</w:t>
      </w:r>
      <w:r>
        <w:rPr>
          <w:rFonts w:hint="eastAsia" w:ascii="仿宋_GB2312" w:hAnsi="仿宋_GB2312" w:eastAsia="仿宋_GB2312" w:cs="仿宋_GB2312"/>
          <w:color w:val="000000"/>
          <w:spacing w:val="6"/>
          <w:sz w:val="32"/>
          <w:szCs w:val="32"/>
        </w:rPr>
        <w:t>社会治理中心挂牌运行，镇街全域</w:t>
      </w:r>
      <w:r>
        <w:rPr>
          <w:rFonts w:hint="eastAsia" w:ascii="仿宋_GB2312" w:hAnsi="仿宋_GB2312" w:eastAsia="仿宋_GB2312" w:cs="仿宋_GB2312"/>
          <w:color w:val="000000"/>
          <w:sz w:val="32"/>
          <w:szCs w:val="32"/>
        </w:rPr>
        <w:t>实施“一支队伍管执法”，“县乡一体、条抓块统”高效协同治理格局基本建成。</w:t>
      </w:r>
      <w:r>
        <w:rPr>
          <w:rFonts w:hint="eastAsia" w:ascii="仿宋_GB2312" w:hAnsi="仿宋_GB2312" w:eastAsia="仿宋_GB2312" w:cs="仿宋_GB2312"/>
          <w:color w:val="000000"/>
          <w:sz w:val="32"/>
          <w:szCs w:val="32"/>
          <w:lang w:val="en-US" w:eastAsia="zh-CN"/>
        </w:rPr>
        <w:t>全国工会参与劳动争议多元化解工作研讨会在奉召开，通过构建具有奉化辨识度的</w:t>
      </w:r>
      <w:r>
        <w:rPr>
          <w:rFonts w:hint="eastAsia" w:ascii="仿宋_GB2312" w:hAnsi="仿宋_GB2312" w:eastAsia="仿宋_GB2312" w:cs="仿宋_GB2312"/>
          <w:color w:val="000000"/>
          <w:sz w:val="32"/>
          <w:szCs w:val="32"/>
        </w:rPr>
        <w:t>“360”劳动争议多元化解</w:t>
      </w:r>
      <w:r>
        <w:rPr>
          <w:rFonts w:hint="eastAsia" w:ascii="仿宋_GB2312" w:hAnsi="仿宋_GB2312" w:eastAsia="仿宋_GB2312" w:cs="仿宋_GB2312"/>
          <w:color w:val="000000"/>
          <w:sz w:val="32"/>
          <w:szCs w:val="32"/>
          <w:lang w:val="en-US" w:eastAsia="zh-CN"/>
        </w:rPr>
        <w:t>模式，持续深入开展劳动纠纷源头治理、诉前化解，切实维护职工合法权益。</w:t>
      </w:r>
      <w:r>
        <w:rPr>
          <w:rFonts w:hint="eastAsia" w:ascii="仿宋_GB2312" w:hAnsi="仿宋_GB2312" w:eastAsia="仿宋_GB2312" w:cs="仿宋_GB2312"/>
          <w:color w:val="000000"/>
          <w:sz w:val="32"/>
          <w:szCs w:val="32"/>
        </w:rPr>
        <w:t>积极开展“基层治理提升年”活动，探索“一核统领、两庭共治、三级联动、四个闭环”的“1234”基层矛调模式，成功实现矛盾纠纷一成化解在区级、三成化解在镇街、六成化解在村社和网格的“136”工作格局，建成村级道德庭319个，覆盖率99.07%；建成镇级道德庭12个，覆盖率100%。下足功夫保障</w:t>
      </w:r>
      <w:r>
        <w:rPr>
          <w:rFonts w:hint="eastAsia" w:ascii="仿宋_GB2312" w:hAnsi="仿宋_GB2312" w:eastAsia="仿宋_GB2312" w:cs="仿宋_GB2312"/>
          <w:color w:val="000000"/>
          <w:spacing w:val="6"/>
          <w:sz w:val="32"/>
          <w:szCs w:val="32"/>
        </w:rPr>
        <w:t>食品安全，通过省食品安全示范区创建评审。</w:t>
      </w:r>
      <w:r>
        <w:rPr>
          <w:rFonts w:hint="eastAsia" w:ascii="仿宋_GB2312" w:hAnsi="仿宋_GB2312" w:eastAsia="仿宋_GB2312" w:cs="仿宋_GB2312"/>
          <w:b/>
          <w:bCs/>
          <w:color w:val="000000"/>
          <w:spacing w:val="6"/>
          <w:sz w:val="32"/>
          <w:szCs w:val="32"/>
        </w:rPr>
        <w:t>法治奉化、</w:t>
      </w:r>
      <w:r>
        <w:rPr>
          <w:rFonts w:hint="eastAsia" w:ascii="仿宋_GB2312" w:hAnsi="仿宋_GB2312" w:eastAsia="仿宋_GB2312" w:cs="仿宋_GB2312"/>
          <w:b/>
          <w:bCs/>
          <w:color w:val="000000"/>
          <w:sz w:val="32"/>
          <w:szCs w:val="32"/>
        </w:rPr>
        <w:t>平安奉化建设持续深化。</w:t>
      </w:r>
      <w:r>
        <w:rPr>
          <w:rFonts w:hint="eastAsia" w:ascii="仿宋_GB2312" w:hAnsi="仿宋_GB2312" w:eastAsia="仿宋_GB2312" w:cs="仿宋_GB2312"/>
          <w:color w:val="000000"/>
          <w:sz w:val="32"/>
          <w:szCs w:val="32"/>
        </w:rPr>
        <w:t>严厉打击电信网络诈骗、跨境网络赌博，常态化开展</w:t>
      </w:r>
      <w:r>
        <w:rPr>
          <w:rFonts w:hint="eastAsia" w:ascii="仿宋_GB2312" w:hAnsi="仿宋_GB2312" w:eastAsia="仿宋_GB2312" w:cs="仿宋_GB2312"/>
          <w:color w:val="000000"/>
          <w:spacing w:val="-6"/>
          <w:sz w:val="32"/>
          <w:szCs w:val="32"/>
        </w:rPr>
        <w:t>扫黑除恶专项斗争，全区刑事案件立案数、治安案件受理数分</w:t>
      </w:r>
      <w:r>
        <w:rPr>
          <w:rFonts w:hint="eastAsia" w:ascii="仿宋_GB2312" w:hAnsi="仿宋_GB2312" w:eastAsia="仿宋_GB2312" w:cs="仿宋_GB2312"/>
          <w:color w:val="000000"/>
          <w:spacing w:val="6"/>
          <w:sz w:val="32"/>
          <w:szCs w:val="32"/>
        </w:rPr>
        <w:t>别较“十三五”同期下降11.98%和45.85%，</w:t>
      </w:r>
      <w:r>
        <w:rPr>
          <w:rFonts w:hint="eastAsia" w:ascii="仿宋_GB2312" w:hAnsi="仿宋_GB2312" w:eastAsia="仿宋_GB2312" w:cs="仿宋_GB2312"/>
          <w:color w:val="000000"/>
          <w:sz w:val="32"/>
          <w:szCs w:val="32"/>
        </w:rPr>
        <w:t>捧回“一星平安金鼎”，区公安分局获评全省平安护航建党100周年成绩突出集体、省级平安护航党的二十大成绩突出集体，大桥派出所荣获全国优秀公安基层单位。民主法治不断深化，金峨村获评全国民主法治示范村。打赢安全生产综合治理三年行动收官战，完成应急消防管理所更名挂牌，基本实现基层治</w:t>
      </w:r>
      <w:r>
        <w:rPr>
          <w:rFonts w:hint="eastAsia" w:ascii="仿宋_GB2312" w:hAnsi="仿宋_GB2312" w:eastAsia="仿宋_GB2312" w:cs="仿宋_GB2312"/>
          <w:color w:val="000000"/>
          <w:spacing w:val="-6"/>
          <w:sz w:val="32"/>
          <w:szCs w:val="32"/>
        </w:rPr>
        <w:t>理镇（街道）、社区（村）、网格“一盘棋”。应急能力不断</w:t>
      </w:r>
      <w:r>
        <w:rPr>
          <w:rFonts w:hint="eastAsia" w:ascii="仿宋_GB2312" w:hAnsi="仿宋_GB2312" w:eastAsia="仿宋_GB2312" w:cs="仿宋_GB2312"/>
          <w:color w:val="000000"/>
          <w:spacing w:val="6"/>
          <w:sz w:val="32"/>
          <w:szCs w:val="32"/>
        </w:rPr>
        <w:t>增强，成功应对“轩岚诺”“梅花”</w:t>
      </w:r>
      <w:r>
        <w:rPr>
          <w:rFonts w:hint="eastAsia" w:ascii="仿宋_GB2312" w:hAnsi="仿宋_GB2312" w:eastAsia="仿宋_GB2312" w:cs="仿宋_GB2312"/>
          <w:color w:val="000000"/>
          <w:sz w:val="32"/>
          <w:szCs w:val="32"/>
        </w:rPr>
        <w:t>台风和高温干旱等自然灾害，稳妥处置“5.01”等突发疫情</w:t>
      </w:r>
      <w:r>
        <w:rPr>
          <w:rFonts w:hint="eastAsia" w:ascii="仿宋_GB2312" w:hAnsi="仿宋_GB2312" w:eastAsia="仿宋_GB2312" w:cs="仿宋_GB2312"/>
          <w:color w:val="000000"/>
          <w:spacing w:val="6"/>
          <w:sz w:val="32"/>
          <w:szCs w:val="32"/>
        </w:rPr>
        <w:t>。</w:t>
      </w:r>
    </w:p>
    <w:p>
      <w:pPr>
        <w:spacing w:line="580" w:lineRule="exact"/>
        <w:ind w:firstLine="640" w:firstLineChars="200"/>
        <w:outlineLvl w:val="9"/>
        <w:rPr>
          <w:rFonts w:hint="eastAsia" w:ascii="楷体_GB2312" w:hAnsi="楷体_GB2312" w:eastAsia="楷体_GB2312" w:cs="楷体_GB2312"/>
          <w:color w:val="000000"/>
          <w:sz w:val="32"/>
          <w:szCs w:val="32"/>
        </w:rPr>
      </w:pPr>
      <w:bookmarkStart w:id="20" w:name="_Toc30877"/>
      <w:bookmarkStart w:id="21" w:name="_Toc25444"/>
      <w:bookmarkStart w:id="22" w:name="_Toc21365"/>
      <w:r>
        <w:rPr>
          <w:rFonts w:hint="eastAsia" w:ascii="楷体_GB2312" w:hAnsi="楷体_GB2312" w:eastAsia="楷体_GB2312" w:cs="楷体_GB2312"/>
          <w:color w:val="000000"/>
          <w:sz w:val="32"/>
          <w:szCs w:val="32"/>
        </w:rPr>
        <w:t>（二）重大平台加快打造</w:t>
      </w:r>
      <w:bookmarkEnd w:id="20"/>
      <w:bookmarkEnd w:id="21"/>
      <w:bookmarkEnd w:id="22"/>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 宁南新城产城融合标杆初步树立</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入推进板块开发提升产业功能，紧抓宁波枢纽启动建设契机，着力推动宁南产业园、宁波生命科学城、中交未来城三大开发板块一体化发展，成功获评省现代服务业创新发展区。宁南产业园建成智能家居产业园、智慧物流产业园等园中园，10个项目投入运营，2022年园区总营收约3</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亿元；宁波生命科学城引进落地奉盛健康医养中心、金茂商业酒店综合体等7个产业项目；中交未来城引进中交壹里科创云廊、宁波·上海产业转移双创示范基地、联</w:t>
      </w:r>
      <w:r>
        <w:rPr>
          <w:rFonts w:hint="eastAsia" w:ascii="仿宋_GB2312" w:hAnsi="仿宋_GB2312" w:eastAsia="仿宋_GB2312" w:cs="仿宋_GB2312"/>
          <w:color w:val="000000"/>
          <w:sz w:val="32"/>
          <w:szCs w:val="32"/>
          <w:lang w:val="en-US" w:eastAsia="zh-CN"/>
        </w:rPr>
        <w:t>东</w:t>
      </w:r>
      <w:r>
        <w:rPr>
          <w:rFonts w:hint="eastAsia" w:ascii="仿宋_GB2312" w:hAnsi="仿宋_GB2312" w:eastAsia="仿宋_GB2312" w:cs="仿宋_GB2312"/>
          <w:color w:val="000000"/>
          <w:sz w:val="32"/>
          <w:szCs w:val="32"/>
        </w:rPr>
        <w:t>U谷·宁波中交科技产业园等5个产业项目平台载体。加快完善城市公共服务功能，宁波市第一医院方桥院区、上海师范附属宁波实验学校等标志性项目建成运行，宁波市公共卫生临床中心建设过半，累计建成汇诚路、儒江路等</w:t>
      </w:r>
      <w:r>
        <w:rPr>
          <w:rFonts w:hint="eastAsia" w:ascii="仿宋_GB2312" w:hAnsi="仿宋_GB2312" w:eastAsia="仿宋_GB2312" w:cs="仿宋_GB2312"/>
          <w:color w:val="000000"/>
          <w:sz w:val="32"/>
          <w:szCs w:val="32"/>
          <w:lang w:val="en-US" w:eastAsia="zh-CN"/>
        </w:rPr>
        <w:t>27</w:t>
      </w:r>
      <w:r>
        <w:rPr>
          <w:rFonts w:hint="eastAsia" w:ascii="仿宋_GB2312" w:hAnsi="仿宋_GB2312" w:eastAsia="仿宋_GB2312" w:cs="仿宋_GB2312"/>
          <w:color w:val="000000"/>
          <w:sz w:val="32"/>
          <w:szCs w:val="32"/>
        </w:rPr>
        <w:t>条交通主次干道，累计建成“桂苑”“紫薇苑”等安置小区5个。</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 宁波湾区域滨海会客厅形象基本显现</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宁波湾区域成功列入宁波市“十四五”城乡建设发展重点建设板块。标志性平台加快打造，宁波湾省级旅游度假区正式获批，2022年累计接待游客超50万人次；现代化综合性渔港经济区深入建设，海洋强省签约项目奉化数字渔港经济区——长三角互联网水产商贸中心成功落户，总投资14亿元。文体旅游功能显著提升，“宁波湾·奉化玩”品牌IP影响力持续提升，“宁波湾海上嘉年华”“天妃湖福文化节”两大特色品牌活动培树确立，中国皮划艇协会总部基地和国家训练中心成功落户，“中国铁人三项小勇士赛”“中国家庭帆船赛”“第六届中国大学生赛艇锦标赛”等重大赛事顺利承办。标志性项目加快建设，滨海再生水厂建成运行，欢乐滨海综合体、宁波湾文体中心、宁波湾游客服务中心、宁波通源医院等一批重大项目加快推进。</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 溪口雪窦山名山文旅融合地标矗立彰显</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加快构建大名山发展格局，“一核一带两组团”名山格局基本形成，弥勒圣坛、永平寺、资福寺、</w:t>
      </w:r>
      <w:r>
        <w:rPr>
          <w:rFonts w:hint="eastAsia" w:ascii="仿宋_GB2312" w:hAnsi="仿宋_GB2312" w:eastAsia="仿宋_GB2312" w:cs="仿宋_GB2312"/>
          <w:color w:val="000000"/>
          <w:sz w:val="32"/>
          <w:szCs w:val="32"/>
          <w:lang w:val="en-US" w:eastAsia="zh-CN"/>
        </w:rPr>
        <w:t>浙江佛学院</w:t>
      </w:r>
      <w:r>
        <w:rPr>
          <w:rFonts w:hint="eastAsia" w:ascii="仿宋_GB2312" w:hAnsi="仿宋_GB2312" w:eastAsia="仿宋_GB2312" w:cs="仿宋_GB2312"/>
          <w:color w:val="000000"/>
          <w:sz w:val="32"/>
          <w:szCs w:val="32"/>
        </w:rPr>
        <w:t>等名山建设项目建成投用，法华寺、东翠寺、瀑布院等寺院加快建设，截至2022年底名山建设主题项目投资超27亿元。开辟文旅开发新局面，“雪窦名山、溪口名镇”加快重塑，连续举办1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届弥勒文化节，徐凫岩“玻璃栈道”“飞拉达”、商量岗“高山滑雪”“森林露营”等项目相继运营，应梦里、梦在武岭、杜鹃谷、蒋氏民国文化中心等新项目陆续开放，雪窦山和岩头村成功创建宁波市首批民宿产业集聚区，雪窦山景区成功获评全省首批“醉美景区”。着力打造品质古镇，加快古镇更新改造和新城建设，累计完成镇区拆迁97.42万平方米，基本建成大爱书院、武岭悦府、溪山华庭等人居项目，整体提升中兴路、武岭东路等主干道路风貌，镇域范围内路网、水网、地下综合管网加快建设。</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 奉化经济开发区产业引擎作用加速凸显</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加快开发区整合提升，滨海新区、尚桥园区、白杜循环经济园区、</w:t>
      </w:r>
      <w:r>
        <w:rPr>
          <w:rFonts w:hint="eastAsia" w:ascii="仿宋_GB2312" w:hAnsi="仿宋_GB2312" w:eastAsia="仿宋_GB2312" w:cs="仿宋_GB2312"/>
          <w:color w:val="000000"/>
          <w:sz w:val="32"/>
          <w:szCs w:val="32"/>
          <w:lang w:val="en-US" w:eastAsia="zh-CN"/>
        </w:rPr>
        <w:t>奉化区创新中心</w:t>
      </w:r>
      <w:r>
        <w:rPr>
          <w:rFonts w:hint="eastAsia" w:ascii="仿宋_GB2312" w:hAnsi="仿宋_GB2312" w:eastAsia="仿宋_GB2312" w:cs="仿宋_GB2312"/>
          <w:color w:val="000000"/>
          <w:sz w:val="32"/>
          <w:szCs w:val="32"/>
        </w:rPr>
        <w:t>“三区一</w:t>
      </w:r>
      <w:r>
        <w:rPr>
          <w:rFonts w:hint="eastAsia" w:ascii="仿宋_GB2312" w:hAnsi="仿宋_GB2312" w:eastAsia="仿宋_GB2312" w:cs="仿宋_GB2312"/>
          <w:color w:val="000000"/>
          <w:sz w:val="32"/>
          <w:szCs w:val="32"/>
          <w:lang w:val="en-US" w:eastAsia="zh-CN"/>
        </w:rPr>
        <w:t>中心</w:t>
      </w:r>
      <w:r>
        <w:rPr>
          <w:rFonts w:hint="eastAsia" w:ascii="仿宋_GB2312" w:hAnsi="仿宋_GB2312" w:eastAsia="仿宋_GB2312" w:cs="仿宋_GB2312"/>
          <w:color w:val="000000"/>
          <w:sz w:val="32"/>
          <w:szCs w:val="32"/>
        </w:rPr>
        <w:t>”建设全面推进，2022年实现规上工业总产值95.4亿元。加大主体提级培育，安睦、博龙、金洪胜等入选全国瞪羚企业名单，哈雷、百琪达、吉田等列入省隐形冠军培育名单，怡诺宁波科创园、易达科创城、万洋众创城、慧芯时尚小微园获省级小微园称号，成功列入新能源汽车产业链省“链长制”试点。招商引资</w:t>
      </w:r>
      <w:r>
        <w:rPr>
          <w:rFonts w:hint="eastAsia" w:ascii="仿宋_GB2312" w:hAnsi="仿宋_GB2312" w:eastAsia="仿宋_GB2312" w:cs="仿宋_GB2312"/>
          <w:color w:val="000000"/>
          <w:sz w:val="32"/>
          <w:szCs w:val="32"/>
          <w:lang w:val="en-US" w:eastAsia="zh-CN"/>
        </w:rPr>
        <w:t>成效明显</w:t>
      </w:r>
      <w:r>
        <w:rPr>
          <w:rFonts w:hint="eastAsia" w:ascii="仿宋_GB2312" w:hAnsi="仿宋_GB2312" w:eastAsia="仿宋_GB2312" w:cs="仿宋_GB2312"/>
          <w:color w:val="000000"/>
          <w:sz w:val="32"/>
          <w:szCs w:val="32"/>
        </w:rPr>
        <w:t>，聚焦高端装备制造、新能源汽车及零部件制造、新材料等主导产业，近三年共引进弗迪电池、亿纬锂能、帕瓦莱斯、达闼机器人等优质项目49个，奉化经济开发区滨海高端装备制造产业园项目竣工投用，兰生智能制造产业园项目建成交付、引进企业44家。</w:t>
      </w:r>
    </w:p>
    <w:p>
      <w:pPr>
        <w:spacing w:line="580" w:lineRule="exact"/>
        <w:ind w:firstLine="640" w:firstLineChars="200"/>
        <w:outlineLvl w:val="9"/>
        <w:rPr>
          <w:rFonts w:hint="eastAsia" w:ascii="楷体_GB2312" w:hAnsi="楷体_GB2312" w:eastAsia="楷体_GB2312" w:cs="楷体_GB2312"/>
          <w:color w:val="000000"/>
          <w:sz w:val="32"/>
          <w:szCs w:val="32"/>
        </w:rPr>
      </w:pPr>
      <w:bookmarkStart w:id="23" w:name="_Toc1322"/>
      <w:bookmarkStart w:id="24" w:name="_Toc24684"/>
      <w:bookmarkStart w:id="25" w:name="_Toc6313"/>
      <w:r>
        <w:rPr>
          <w:rFonts w:hint="eastAsia" w:ascii="楷体_GB2312" w:hAnsi="楷体_GB2312" w:eastAsia="楷体_GB2312" w:cs="楷体_GB2312"/>
          <w:color w:val="000000"/>
          <w:sz w:val="32"/>
          <w:szCs w:val="32"/>
        </w:rPr>
        <w:t>（三）重</w:t>
      </w:r>
      <w:r>
        <w:rPr>
          <w:rFonts w:hint="eastAsia" w:ascii="楷体_GB2312" w:hAnsi="楷体_GB2312" w:eastAsia="楷体_GB2312" w:cs="楷体_GB2312"/>
          <w:color w:val="000000"/>
          <w:sz w:val="32"/>
          <w:szCs w:val="32"/>
          <w:lang w:val="en-US" w:eastAsia="zh-CN"/>
        </w:rPr>
        <w:t>大</w:t>
      </w:r>
      <w:r>
        <w:rPr>
          <w:rFonts w:hint="eastAsia" w:ascii="楷体_GB2312" w:hAnsi="楷体_GB2312" w:eastAsia="楷体_GB2312" w:cs="楷体_GB2312"/>
          <w:color w:val="000000"/>
          <w:sz w:val="32"/>
          <w:szCs w:val="32"/>
        </w:rPr>
        <w:t>改革推进有力</w:t>
      </w:r>
      <w:bookmarkEnd w:id="23"/>
      <w:bookmarkEnd w:id="24"/>
      <w:bookmarkEnd w:id="25"/>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“十四五”以来，坚持有效市场和有为政府互促互进，紧紧围绕“抓重点、争试点、创亮点”，深入推进党建引领、现代政府等六大领域，打造了一批标志性的重大改革成果。</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 改革能级加快跃升</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大项目征迁司法确认改革经验做法相关信息获最高人民法院院长批示肯定。新增全国广播电视基本公共服务县级标准化试点、全国市场监管数字化试验区建设的地方试点等省级以上改革试点20个，“护校安园”等被评为省级最佳应用。全面深化改革工作考核获得省市双优。</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 数字化改革亮点突出</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着力夯实“平台+大脑”底座，一体化智能化公共数据平台不断完善，归集全区42个部门、56个系统、1534张数据表、1.6亿条数据，获2022年全市数据质量奖，校园安全专题库和基础地址专题库入选2022年全市数据资源体系领域优秀案例；渔业、水蜜桃等产业大脑建设加速推进，渔业产业大脑部分场景在8个省市、41个渔港站点、4万余艘渔船推广应用。着力打造“项目+应用”重大成果，“限额捕捞”获国家级改革试点，“浙里甬惠渔”“浙址通享（数字门牌）”“农省心”获评省级数字化改革优秀应用，“文旅信用通”“智慧步道”等列入省级试点应用，党内组织生活应用系统在全省推广使用。</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 营商环境改革保持前列</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化政务环境建设，“互联网+政务服务”“最多跑一次”提质扩面，全省首创惠企、人才政策兑现“一键通”平台，民生事项100%实现“网上办、掌上办”，企业开办登记实现“一窗受理”“一日办结”。全面推进“一件事”改革，企业开办、证照联办等13项企业“一件事”，以及出生、入园、入学等23项个人“一件事”落地实施，基本实现民生事项“一事联办”。推动“双随机、一公开”市场监管提质扩面，有效落实“进一次门、查多项事”。加强信用体系建设，“信用+行业监管”成效明显，成为全省唯一入选国家文化和旅游市场信用经济发展试点地区。完善组织建设，成立奉化区营商环境投诉监督中心，创新“1+3+X”组织运行模式，实现涉企投诉监督“一站式”处理。环评第三方市场增值式治理改革被评为全省微改革项目。</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 要素市场化改革稳步推进</w:t>
      </w:r>
    </w:p>
    <w:p>
      <w:pPr>
        <w:spacing w:line="58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提升土地资源配置效能，深入推进全域国土空间整治试点，实施闲置农房整治，节约集约建设用地1204亩，盘活农地面积347亩；深化“亩均论英雄”改革，规上工业企业亩均增加值达到306万元/亩，经济开发区荣获全省年度亩均效益领跑者称号。提升金融服务实体经济能力，国家普惠金融改革试验区建设持续深化，全省首创5000万元财政小微企业贷款贴息项目落地实施并获省领导批示表扬，甬山基金（母基金）组建完成、全区基金规模累计达39.6亿元；“凤凰行动”大力实施，新增上市过会1家、股改5家、纳入培育库36家。加快培育数据要素市场，组建区大数据投资发展有限公司，“共享冷库”获2022年全市数据开放创新应用大赛“扩中提低”赛道三等奖。</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 国资国企改革走深走实</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整合优化国资国企布局，组建完成农商集团、水务集团、文旅集团，混合所有制改革积极推进，全区40%的国有企业通过参股、合资等方式与非公资本实现混改。加快国企市场化经营转型，经营业务开发步伐显著加快，2022年区属国企营业收入、资产总额分别同比增长86.4%和18.5%。完善国资监管体制机制，经营性国有资产统一监管、分类监管加大实施推进。积极优化公司治理，管理层市场化选聘和薪酬市场化有序推进。</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 区域协同开发机制加快创新</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创新开发区（园区）管理体制机制，平台园区大会战全面实施，小微企业园绩效评价和星级评定年度评价制度全面推行，改造提升14个旧工业园区改造和小微园区，“一区、五园、多微”的工业平台格局基本形成。创新区域协同发展机制，深度融入长三角科技创新共同体，创新推出“双飞地”模式，推进上海、杭州“科创飞地”项目招引、企业入驻和孵化培育，与杭州“飞地”合作共建茗山科创中心。</w:t>
      </w:r>
    </w:p>
    <w:p>
      <w:pPr>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7. 行政执法体制改革加快推进</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构建“大综合一体化”高效执法体系，1618项行政处罚事项纳入综合执法，探索形成“1+8”执法架构，85%以上执法力量下沉到镇（街道）。全面推行“综合查一次”，全区累计建立跨部门跨领域“综合查一次”监管检查事项</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6个。首创“共治检察室”机制，相关经验做法得到宁波市主要领导批示肯定。纵深推进溪口镇综合行政执法改革列入省级试点，“镇队合一”模式全省首创。</w:t>
      </w:r>
    </w:p>
    <w:p>
      <w:pPr>
        <w:spacing w:line="580" w:lineRule="exact"/>
        <w:ind w:firstLine="640" w:firstLineChars="200"/>
        <w:outlineLvl w:val="9"/>
        <w:rPr>
          <w:rFonts w:hint="eastAsia" w:ascii="楷体_GB2312" w:hAnsi="楷体_GB2312" w:eastAsia="楷体_GB2312" w:cs="楷体_GB2312"/>
          <w:color w:val="000000"/>
          <w:sz w:val="32"/>
          <w:szCs w:val="32"/>
        </w:rPr>
      </w:pPr>
      <w:bookmarkStart w:id="26" w:name="_Toc3052"/>
      <w:bookmarkStart w:id="27" w:name="_Toc11105"/>
      <w:bookmarkStart w:id="28" w:name="_Toc29116"/>
      <w:r>
        <w:rPr>
          <w:rFonts w:hint="eastAsia" w:ascii="楷体_GB2312" w:hAnsi="楷体_GB2312" w:eastAsia="楷体_GB2312" w:cs="楷体_GB2312"/>
          <w:color w:val="000000"/>
          <w:sz w:val="32"/>
          <w:szCs w:val="32"/>
        </w:rPr>
        <w:t>（四）重大项目加快推进</w:t>
      </w:r>
      <w:bookmarkEnd w:id="26"/>
      <w:bookmarkEnd w:id="27"/>
      <w:bookmarkEnd w:id="28"/>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“十四五”期间全区共安排重大建设项目（含预备类和实施类）343个，总投资约3038亿元，“十四五”计划投资1845亿元。截至2023年6月，共实施项目27</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个，完成投资</w:t>
      </w:r>
      <w:r>
        <w:rPr>
          <w:rFonts w:hint="eastAsia" w:ascii="仿宋_GB2312" w:hAnsi="仿宋_GB2312" w:eastAsia="仿宋_GB2312" w:cs="仿宋_GB2312"/>
          <w:sz w:val="32"/>
          <w:szCs w:val="32"/>
          <w:lang w:val="en-US" w:eastAsia="zh-CN"/>
        </w:rPr>
        <w:t>709.1</w:t>
      </w:r>
      <w:r>
        <w:rPr>
          <w:rFonts w:hint="eastAsia" w:ascii="仿宋_GB2312" w:hAnsi="仿宋_GB2312" w:eastAsia="仿宋_GB2312" w:cs="仿宋_GB2312"/>
          <w:sz w:val="32"/>
          <w:szCs w:val="32"/>
        </w:rPr>
        <w:t>亿元，其中已完工8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个，完成投资23</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亿元，在建项目190个，完成投资47</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亿元。取消实施项目26个，涉及“十四五”投资150.7亿元。总投资调整项目49个，涉及减少“十四五”投资145.7亿元。</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科技创新领域，</w:t>
      </w:r>
      <w:r>
        <w:rPr>
          <w:rFonts w:hint="eastAsia" w:ascii="仿宋_GB2312" w:hAnsi="仿宋_GB2312" w:eastAsia="仿宋_GB2312" w:cs="仿宋_GB2312"/>
          <w:sz w:val="32"/>
          <w:szCs w:val="32"/>
        </w:rPr>
        <w:t>共计安排科创平台和高水平研发平台等重大建设项目11项，“十四五”计划投资58亿元。截至2023年6月，科技创新领域共实施项目8个，实际完成投资16.7 亿元。宁波瑞凌总部及研究院、先进能源材料研发中心一期、瑞峰研发及总部中心项目建成投用，中交智慧城项目（一期）基本完工。</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现代产业领域，</w:t>
      </w:r>
      <w:r>
        <w:rPr>
          <w:rFonts w:hint="eastAsia" w:ascii="仿宋_GB2312" w:hAnsi="仿宋_GB2312" w:eastAsia="仿宋_GB2312" w:cs="仿宋_GB2312"/>
          <w:sz w:val="32"/>
          <w:szCs w:val="32"/>
        </w:rPr>
        <w:t>共计安排重大建设项目113项，“十四五”计划投资467亿元。截至2023年6月，产业发展领域共实施项目85个，实际完成投资18</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亿元，新增实施项目9个，完成投资13亿元。合并后，共实施项目94个，完成投资20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亿元。亚德客新增年产600万套精密气动元件扩建项目完工，万洋众创城、弥勒圣坛、金海路客运中心地块商业办公项目（宝龙广场）等一批项目建成投用。</w:t>
      </w:r>
    </w:p>
    <w:p>
      <w:pPr>
        <w:spacing w:line="580" w:lineRule="exact"/>
        <w:ind w:firstLine="643"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rPr>
        <w:t>交通设施领域，</w:t>
      </w:r>
      <w:r>
        <w:rPr>
          <w:rFonts w:hint="eastAsia" w:ascii="仿宋_GB2312" w:hAnsi="仿宋_GB2312" w:eastAsia="仿宋_GB2312" w:cs="仿宋_GB2312"/>
          <w:sz w:val="32"/>
          <w:szCs w:val="32"/>
        </w:rPr>
        <w:t>共计安排重大建设项目45项，“十四五”计划投资257亿元。</w:t>
      </w:r>
      <w:r>
        <w:rPr>
          <w:rFonts w:hint="eastAsia" w:ascii="仿宋_GB2312" w:hAnsi="仿宋_GB2312" w:eastAsia="仿宋_GB2312" w:cs="仿宋_GB2312"/>
          <w:sz w:val="32"/>
          <w:szCs w:val="32"/>
          <w:lang w:eastAsia="zh-Hans"/>
        </w:rPr>
        <w:t>截至2023年6月，交通工程领域共实施项目</w:t>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lang w:eastAsia="zh-Hans"/>
        </w:rPr>
        <w:t>个，实际完成投资</w:t>
      </w:r>
      <w:r>
        <w:rPr>
          <w:rFonts w:hint="eastAsia" w:ascii="仿宋_GB2312" w:hAnsi="仿宋_GB2312" w:eastAsia="仿宋_GB2312" w:cs="仿宋_GB2312"/>
          <w:sz w:val="32"/>
          <w:szCs w:val="32"/>
        </w:rPr>
        <w:t>91.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Hans"/>
        </w:rPr>
        <w:t>亿元，</w:t>
      </w:r>
      <w:r>
        <w:rPr>
          <w:rFonts w:hint="eastAsia" w:ascii="仿宋_GB2312" w:hAnsi="仿宋_GB2312" w:eastAsia="仿宋_GB2312" w:cs="仿宋_GB2312"/>
          <w:sz w:val="32"/>
          <w:szCs w:val="32"/>
        </w:rPr>
        <w:t>新增实施项目2个，完成投资6.3亿元。合并后，共实施项目37个，完成投资</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Hans"/>
        </w:rPr>
        <w:t>S203省道奉化白杜至金峨段公路工程</w:t>
      </w:r>
      <w:r>
        <w:rPr>
          <w:rFonts w:hint="eastAsia" w:ascii="仿宋_GB2312" w:hAnsi="仿宋_GB2312" w:eastAsia="仿宋_GB2312" w:cs="仿宋_GB2312"/>
          <w:sz w:val="32"/>
          <w:szCs w:val="32"/>
          <w:highlight w:val="none"/>
        </w:rPr>
        <w:t>、奉化四明路（南山北路—四明隧道）路面拓宽改造工程</w:t>
      </w:r>
      <w:r>
        <w:rPr>
          <w:rFonts w:hint="eastAsia" w:ascii="仿宋_GB2312" w:hAnsi="仿宋_GB2312" w:eastAsia="仿宋_GB2312" w:cs="仿宋_GB2312"/>
          <w:sz w:val="32"/>
          <w:szCs w:val="32"/>
          <w:lang w:eastAsia="zh-Hans"/>
        </w:rPr>
        <w:t>等一批项目</w:t>
      </w:r>
      <w:r>
        <w:rPr>
          <w:rFonts w:hint="eastAsia" w:ascii="仿宋_GB2312" w:hAnsi="仿宋_GB2312" w:eastAsia="仿宋_GB2312" w:cs="仿宋_GB2312"/>
          <w:sz w:val="32"/>
          <w:szCs w:val="32"/>
          <w:lang w:eastAsia="zh-CN"/>
        </w:rPr>
        <w:t>完工</w:t>
      </w:r>
      <w:r>
        <w:rPr>
          <w:rFonts w:hint="eastAsia" w:ascii="仿宋_GB2312" w:hAnsi="仿宋_GB2312" w:eastAsia="仿宋_GB2312" w:cs="仿宋_GB2312"/>
          <w:sz w:val="32"/>
          <w:szCs w:val="32"/>
          <w:lang w:eastAsia="zh-Hans"/>
        </w:rPr>
        <w:t>。</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生态环保领域，</w:t>
      </w:r>
      <w:r>
        <w:rPr>
          <w:rFonts w:hint="eastAsia" w:ascii="仿宋_GB2312" w:hAnsi="仿宋_GB2312" w:eastAsia="仿宋_GB2312" w:cs="仿宋_GB2312"/>
          <w:sz w:val="32"/>
          <w:szCs w:val="32"/>
        </w:rPr>
        <w:t>共计安排重大建设项目32项，“十四五”计划投资131亿元。截至2023年6月，生态环保领域共实施项目23个，实际完成投资56.1亿元，新增实施项目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个，完成投资1.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亿元。合并后，共实施项目2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个，完成投资57.</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亿元。甬江防洪东江剡江奉化段堤防整治工程二期、亭下灌区三干渠（倪家碶河）整治工程、宁波市奉化江上游奉化平原方桥片治涝工程二期（儒江河一期）等一批项目建成完工。</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公共服务领域，</w:t>
      </w:r>
      <w:r>
        <w:rPr>
          <w:rFonts w:hint="eastAsia" w:ascii="仿宋_GB2312" w:hAnsi="仿宋_GB2312" w:eastAsia="仿宋_GB2312" w:cs="仿宋_GB2312"/>
          <w:sz w:val="32"/>
          <w:szCs w:val="32"/>
        </w:rPr>
        <w:t>共计安排重大建设项目142项，“十四五”计划投资932亿元。截至2023年6月，公共服务领域共实施项目111个，实际完成投资333.3亿元，新增实施项目1个，完成投资1.8亿元。合并后，共实施项目112个，完成投资335.1亿元。金钟、南溪、青云等未来社区已完成创建，集散中心北侧安置房项目、宁波城市职业技术学院奉化校区、宁波市第一医院异地建设（一期）等一批项目竣工。</w:t>
      </w:r>
    </w:p>
    <w:p>
      <w:pPr>
        <w:spacing w:line="580" w:lineRule="exact"/>
        <w:ind w:firstLine="0" w:firstLineChars="0"/>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表2-1 “十四五”重大项目情况表</w:t>
      </w:r>
    </w:p>
    <w:tbl>
      <w:tblPr>
        <w:tblStyle w:val="19"/>
        <w:tblW w:w="84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3"/>
        <w:gridCol w:w="1062"/>
        <w:gridCol w:w="1160"/>
        <w:gridCol w:w="1248"/>
        <w:gridCol w:w="986"/>
        <w:gridCol w:w="1229"/>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16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项目类别</w:t>
            </w:r>
          </w:p>
        </w:tc>
        <w:tc>
          <w:tcPr>
            <w:tcW w:w="222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“十四五”规划</w:t>
            </w:r>
          </w:p>
        </w:tc>
        <w:tc>
          <w:tcPr>
            <w:tcW w:w="223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截至2023年6月</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完成情况</w:t>
            </w:r>
          </w:p>
        </w:tc>
        <w:tc>
          <w:tcPr>
            <w:tcW w:w="242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预计“十四五”</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规划期末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16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i w:val="0"/>
                <w:iCs w:val="0"/>
                <w:color w:val="000000"/>
                <w:sz w:val="24"/>
                <w:szCs w:val="24"/>
                <w:u w:val="none"/>
              </w:rPr>
            </w:pPr>
          </w:p>
        </w:tc>
        <w:tc>
          <w:tcPr>
            <w:tcW w:w="1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实施项目数</w:t>
            </w:r>
          </w:p>
        </w:tc>
        <w:tc>
          <w:tcPr>
            <w:tcW w:w="11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计划投资额</w:t>
            </w:r>
          </w:p>
        </w:tc>
        <w:tc>
          <w:tcPr>
            <w:tcW w:w="12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实际实施项目数</w:t>
            </w:r>
          </w:p>
        </w:tc>
        <w:tc>
          <w:tcPr>
            <w:tcW w:w="9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完成投资额</w:t>
            </w:r>
          </w:p>
        </w:tc>
        <w:tc>
          <w:tcPr>
            <w:tcW w:w="12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实施项目数</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完成投资额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一、科技创新</w:t>
            </w:r>
          </w:p>
        </w:tc>
        <w:tc>
          <w:tcPr>
            <w:tcW w:w="1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11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58.0</w:t>
            </w:r>
          </w:p>
        </w:tc>
        <w:tc>
          <w:tcPr>
            <w:tcW w:w="12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9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16.7</w:t>
            </w:r>
          </w:p>
        </w:tc>
        <w:tc>
          <w:tcPr>
            <w:tcW w:w="12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二、现代产业</w:t>
            </w:r>
          </w:p>
        </w:tc>
        <w:tc>
          <w:tcPr>
            <w:tcW w:w="1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113</w:t>
            </w:r>
          </w:p>
        </w:tc>
        <w:tc>
          <w:tcPr>
            <w:tcW w:w="11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467.0</w:t>
            </w:r>
          </w:p>
        </w:tc>
        <w:tc>
          <w:tcPr>
            <w:tcW w:w="12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85</w:t>
            </w:r>
          </w:p>
        </w:tc>
        <w:tc>
          <w:tcPr>
            <w:tcW w:w="9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189.1</w:t>
            </w:r>
          </w:p>
        </w:tc>
        <w:tc>
          <w:tcPr>
            <w:tcW w:w="12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96</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三、交通设施</w:t>
            </w:r>
          </w:p>
        </w:tc>
        <w:tc>
          <w:tcPr>
            <w:tcW w:w="1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45</w:t>
            </w:r>
          </w:p>
        </w:tc>
        <w:tc>
          <w:tcPr>
            <w:tcW w:w="11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257.0</w:t>
            </w:r>
          </w:p>
        </w:tc>
        <w:tc>
          <w:tcPr>
            <w:tcW w:w="12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w:t>
            </w:r>
          </w:p>
        </w:tc>
        <w:tc>
          <w:tcPr>
            <w:tcW w:w="9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91.7</w:t>
            </w:r>
          </w:p>
        </w:tc>
        <w:tc>
          <w:tcPr>
            <w:tcW w:w="12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41</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四、生态环保</w:t>
            </w:r>
          </w:p>
        </w:tc>
        <w:tc>
          <w:tcPr>
            <w:tcW w:w="1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w:t>
            </w:r>
          </w:p>
        </w:tc>
        <w:tc>
          <w:tcPr>
            <w:tcW w:w="11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131.0</w:t>
            </w:r>
          </w:p>
        </w:tc>
        <w:tc>
          <w:tcPr>
            <w:tcW w:w="12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w:t>
            </w:r>
          </w:p>
        </w:tc>
        <w:tc>
          <w:tcPr>
            <w:tcW w:w="9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56.1</w:t>
            </w:r>
          </w:p>
        </w:tc>
        <w:tc>
          <w:tcPr>
            <w:tcW w:w="12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五、公共服务</w:t>
            </w:r>
          </w:p>
        </w:tc>
        <w:tc>
          <w:tcPr>
            <w:tcW w:w="1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142</w:t>
            </w:r>
          </w:p>
        </w:tc>
        <w:tc>
          <w:tcPr>
            <w:tcW w:w="11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932.0</w:t>
            </w:r>
          </w:p>
        </w:tc>
        <w:tc>
          <w:tcPr>
            <w:tcW w:w="12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111</w:t>
            </w:r>
          </w:p>
        </w:tc>
        <w:tc>
          <w:tcPr>
            <w:tcW w:w="9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333.3</w:t>
            </w:r>
          </w:p>
        </w:tc>
        <w:tc>
          <w:tcPr>
            <w:tcW w:w="12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127</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小计</w:t>
            </w:r>
          </w:p>
        </w:tc>
        <w:tc>
          <w:tcPr>
            <w:tcW w:w="1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343</w:t>
            </w:r>
          </w:p>
        </w:tc>
        <w:tc>
          <w:tcPr>
            <w:tcW w:w="11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1845.0</w:t>
            </w:r>
          </w:p>
        </w:tc>
        <w:tc>
          <w:tcPr>
            <w:tcW w:w="12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262</w:t>
            </w:r>
          </w:p>
        </w:tc>
        <w:tc>
          <w:tcPr>
            <w:tcW w:w="9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686.8</w:t>
            </w:r>
          </w:p>
        </w:tc>
        <w:tc>
          <w:tcPr>
            <w:tcW w:w="12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301</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新增项目</w:t>
            </w:r>
          </w:p>
        </w:tc>
        <w:tc>
          <w:tcPr>
            <w:tcW w:w="1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w:t>
            </w:r>
          </w:p>
        </w:tc>
        <w:tc>
          <w:tcPr>
            <w:tcW w:w="11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w:t>
            </w:r>
          </w:p>
        </w:tc>
        <w:tc>
          <w:tcPr>
            <w:tcW w:w="12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9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22.3</w:t>
            </w:r>
          </w:p>
        </w:tc>
        <w:tc>
          <w:tcPr>
            <w:tcW w:w="12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82</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6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1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343</w:t>
            </w:r>
          </w:p>
        </w:tc>
        <w:tc>
          <w:tcPr>
            <w:tcW w:w="11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1845</w:t>
            </w:r>
          </w:p>
        </w:tc>
        <w:tc>
          <w:tcPr>
            <w:tcW w:w="12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275</w:t>
            </w:r>
          </w:p>
        </w:tc>
        <w:tc>
          <w:tcPr>
            <w:tcW w:w="9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709.1</w:t>
            </w:r>
          </w:p>
        </w:tc>
        <w:tc>
          <w:tcPr>
            <w:tcW w:w="12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383</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1780.1</w:t>
            </w:r>
          </w:p>
        </w:tc>
      </w:tr>
    </w:tbl>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预计到2025年底，共计实施项目</w:t>
      </w:r>
      <w:r>
        <w:rPr>
          <w:rFonts w:hint="eastAsia" w:ascii="仿宋_GB2312" w:hAnsi="仿宋_GB2312" w:eastAsia="仿宋_GB2312" w:cs="仿宋_GB2312"/>
          <w:sz w:val="32"/>
          <w:szCs w:val="32"/>
          <w:highlight w:val="none"/>
        </w:rPr>
        <w:t>38</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rPr>
        <w:t>，计划完成投资</w:t>
      </w:r>
      <w:r>
        <w:rPr>
          <w:rFonts w:hint="eastAsia" w:ascii="仿宋_GB2312" w:hAnsi="仿宋_GB2312" w:eastAsia="仿宋_GB2312" w:cs="仿宋_GB2312"/>
          <w:sz w:val="32"/>
          <w:szCs w:val="32"/>
          <w:lang w:val="en-US" w:eastAsia="zh-CN"/>
        </w:rPr>
        <w:t>1780.1</w:t>
      </w:r>
      <w:r>
        <w:rPr>
          <w:rFonts w:hint="eastAsia" w:ascii="仿宋_GB2312" w:hAnsi="仿宋_GB2312" w:eastAsia="仿宋_GB2312" w:cs="仿宋_GB2312"/>
          <w:sz w:val="32"/>
          <w:szCs w:val="32"/>
        </w:rPr>
        <w:t>亿元，其中新增</w:t>
      </w:r>
      <w:r>
        <w:rPr>
          <w:rFonts w:hint="eastAsia" w:ascii="仿宋_GB2312" w:hAnsi="仿宋_GB2312" w:eastAsia="仿宋_GB2312" w:cs="仿宋_GB2312"/>
          <w:sz w:val="32"/>
          <w:szCs w:val="32"/>
          <w:lang w:val="en-US" w:eastAsia="zh-CN"/>
        </w:rPr>
        <w:t>实施类项目82</w:t>
      </w:r>
      <w:r>
        <w:rPr>
          <w:rFonts w:hint="eastAsia" w:ascii="仿宋_GB2312" w:hAnsi="仿宋_GB2312" w:eastAsia="仿宋_GB2312" w:cs="仿宋_GB2312"/>
          <w:sz w:val="32"/>
          <w:szCs w:val="32"/>
        </w:rPr>
        <w:t>个，“十四五”计划投资</w:t>
      </w:r>
      <w:r>
        <w:rPr>
          <w:rFonts w:hint="eastAsia" w:ascii="仿宋_GB2312" w:hAnsi="仿宋_GB2312" w:eastAsia="仿宋_GB2312" w:cs="仿宋_GB2312"/>
          <w:sz w:val="32"/>
          <w:szCs w:val="32"/>
          <w:lang w:val="en-US" w:eastAsia="zh-CN"/>
        </w:rPr>
        <w:t>231.5</w:t>
      </w:r>
      <w:r>
        <w:rPr>
          <w:rFonts w:hint="eastAsia" w:ascii="仿宋_GB2312" w:hAnsi="仿宋_GB2312" w:eastAsia="仿宋_GB2312" w:cs="仿宋_GB2312"/>
          <w:sz w:val="32"/>
          <w:szCs w:val="32"/>
        </w:rPr>
        <w:t>亿元。</w:t>
      </w:r>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keepNext w:val="0"/>
              <w:keepLines w:val="0"/>
              <w:suppressLineNumbers w:val="0"/>
              <w:spacing w:before="0" w:beforeAutospacing="0" w:after="0" w:afterAutospacing="0" w:line="580" w:lineRule="exact"/>
              <w:ind w:left="0" w:right="0"/>
              <w:jc w:val="center"/>
              <w:rPr>
                <w:rFonts w:hint="default" w:eastAsia="方正仿宋简体" w:cs="方正仿宋简体"/>
                <w:sz w:val="32"/>
                <w:szCs w:val="32"/>
              </w:rPr>
            </w:pPr>
            <w:r>
              <w:rPr>
                <w:rFonts w:hint="eastAsia" w:eastAsia="黑体"/>
                <w:color w:val="000000"/>
                <w:sz w:val="28"/>
                <w:szCs w:val="28"/>
              </w:rPr>
              <w:t>专栏  “十四五”</w:t>
            </w:r>
            <w:r>
              <w:rPr>
                <w:rFonts w:hint="eastAsia" w:eastAsia="黑体"/>
                <w:color w:val="000000"/>
                <w:sz w:val="28"/>
                <w:szCs w:val="28"/>
                <w:lang w:val="en-US" w:eastAsia="zh-CN"/>
              </w:rPr>
              <w:t>新增新开工</w:t>
            </w:r>
            <w:r>
              <w:rPr>
                <w:rFonts w:hint="eastAsia" w:eastAsia="黑体"/>
                <w:color w:val="000000"/>
                <w:sz w:val="28"/>
                <w:szCs w:val="28"/>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keepNext w:val="0"/>
              <w:keepLines w:val="0"/>
              <w:suppressLineNumbers w:val="0"/>
              <w:spacing w:before="0" w:beforeAutospacing="0" w:after="0" w:afterAutospacing="0" w:line="380" w:lineRule="exact"/>
              <w:ind w:left="0" w:right="0"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科技创新领域</w:t>
            </w:r>
            <w:r>
              <w:rPr>
                <w:rFonts w:hint="eastAsia" w:ascii="仿宋_GB2312" w:hAnsi="仿宋_GB2312" w:eastAsia="仿宋_GB2312" w:cs="仿宋_GB2312"/>
                <w:color w:val="000000"/>
                <w:sz w:val="24"/>
              </w:rPr>
              <w:t>：新增项目1个，为奉化龙潭科研项目，“十四五”计划投资2亿元。</w:t>
            </w:r>
          </w:p>
          <w:p>
            <w:pPr>
              <w:keepNext w:val="0"/>
              <w:keepLines w:val="0"/>
              <w:suppressLineNumbers w:val="0"/>
              <w:spacing w:before="0" w:beforeAutospacing="0" w:after="0" w:afterAutospacing="0" w:line="380" w:lineRule="exact"/>
              <w:ind w:left="0" w:right="0"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现代产业领域</w:t>
            </w:r>
            <w:r>
              <w:rPr>
                <w:rFonts w:hint="eastAsia" w:ascii="仿宋_GB2312" w:hAnsi="仿宋_GB2312" w:eastAsia="仿宋_GB2312" w:cs="仿宋_GB2312"/>
                <w:color w:val="000000"/>
                <w:sz w:val="24"/>
              </w:rPr>
              <w:t>：新增项目</w:t>
            </w:r>
            <w:r>
              <w:rPr>
                <w:rFonts w:hint="eastAsia" w:ascii="仿宋_GB2312" w:hAnsi="仿宋_GB2312" w:eastAsia="仿宋_GB2312" w:cs="仿宋_GB2312"/>
                <w:color w:val="000000"/>
                <w:sz w:val="24"/>
                <w:lang w:val="en-US" w:eastAsia="zh-CN"/>
              </w:rPr>
              <w:t>24</w:t>
            </w:r>
            <w:r>
              <w:rPr>
                <w:rFonts w:hint="eastAsia" w:ascii="仿宋_GB2312" w:hAnsi="仿宋_GB2312" w:eastAsia="仿宋_GB2312" w:cs="仿宋_GB2312"/>
                <w:color w:val="000000"/>
                <w:sz w:val="24"/>
              </w:rPr>
              <w:t>个，“十四五”计划投资</w:t>
            </w:r>
            <w:r>
              <w:rPr>
                <w:rFonts w:hint="eastAsia" w:ascii="仿宋_GB2312" w:hAnsi="仿宋_GB2312" w:eastAsia="仿宋_GB2312" w:cs="仿宋_GB2312"/>
                <w:color w:val="000000"/>
                <w:sz w:val="24"/>
                <w:lang w:val="en-US" w:eastAsia="zh-CN"/>
              </w:rPr>
              <w:t>66.9</w:t>
            </w:r>
            <w:r>
              <w:rPr>
                <w:rFonts w:hint="eastAsia" w:ascii="仿宋_GB2312" w:hAnsi="仿宋_GB2312" w:eastAsia="仿宋_GB2312" w:cs="仿宋_GB2312"/>
                <w:color w:val="000000"/>
                <w:sz w:val="24"/>
              </w:rPr>
              <w:t>亿元，主要包括奉化区南山信创源项目、奉化滨海片区产城融合项目、生命健康产业园项目等。</w:t>
            </w:r>
          </w:p>
          <w:p>
            <w:pPr>
              <w:keepNext w:val="0"/>
              <w:keepLines w:val="0"/>
              <w:suppressLineNumbers w:val="0"/>
              <w:spacing w:before="0" w:beforeAutospacing="0" w:after="0" w:afterAutospacing="0" w:line="380" w:lineRule="exact"/>
              <w:ind w:left="0" w:right="0"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交通设施领域</w:t>
            </w:r>
            <w:r>
              <w:rPr>
                <w:rFonts w:hint="eastAsia" w:ascii="仿宋_GB2312" w:hAnsi="仿宋_GB2312" w:eastAsia="仿宋_GB2312" w:cs="仿宋_GB2312"/>
                <w:color w:val="000000"/>
                <w:sz w:val="24"/>
              </w:rPr>
              <w:t>：新增项目</w:t>
            </w:r>
            <w:r>
              <w:rPr>
                <w:rFonts w:hint="eastAsia" w:ascii="仿宋_GB2312" w:hAnsi="仿宋_GB2312" w:eastAsia="仿宋_GB2312" w:cs="仿宋_GB2312"/>
                <w:color w:val="000000"/>
                <w:sz w:val="24"/>
                <w:lang w:val="en-US" w:eastAsia="zh-CN"/>
              </w:rPr>
              <w:t>28</w:t>
            </w:r>
            <w:r>
              <w:rPr>
                <w:rFonts w:hint="eastAsia" w:ascii="仿宋_GB2312" w:hAnsi="仿宋_GB2312" w:eastAsia="仿宋_GB2312" w:cs="仿宋_GB2312"/>
                <w:color w:val="000000"/>
                <w:sz w:val="24"/>
              </w:rPr>
              <w:t>个，“十四五”计划投资</w:t>
            </w:r>
            <w:r>
              <w:rPr>
                <w:rFonts w:hint="eastAsia" w:ascii="仿宋_GB2312" w:hAnsi="仿宋_GB2312" w:eastAsia="仿宋_GB2312" w:cs="仿宋_GB2312"/>
                <w:color w:val="000000"/>
                <w:sz w:val="24"/>
                <w:lang w:val="en-US" w:eastAsia="zh-CN"/>
              </w:rPr>
              <w:t>61.9</w:t>
            </w:r>
            <w:r>
              <w:rPr>
                <w:rFonts w:hint="eastAsia" w:ascii="仿宋_GB2312" w:hAnsi="仿宋_GB2312" w:eastAsia="仿宋_GB2312" w:cs="仿宋_GB2312"/>
                <w:color w:val="000000"/>
                <w:sz w:val="24"/>
              </w:rPr>
              <w:t>亿元，主要包括奉化四明路（锦奉大道至机场南路）快速化改造工程、天妃大道桥梁段项目等。</w:t>
            </w:r>
          </w:p>
          <w:p>
            <w:pPr>
              <w:keepNext w:val="0"/>
              <w:keepLines w:val="0"/>
              <w:suppressLineNumbers w:val="0"/>
              <w:spacing w:before="0" w:beforeAutospacing="0" w:after="0" w:afterAutospacing="0" w:line="380" w:lineRule="exact"/>
              <w:ind w:left="0" w:right="0"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生态环保领域</w:t>
            </w:r>
            <w:r>
              <w:rPr>
                <w:rFonts w:hint="eastAsia" w:ascii="仿宋_GB2312" w:hAnsi="仿宋_GB2312" w:eastAsia="仿宋_GB2312" w:cs="仿宋_GB2312"/>
                <w:color w:val="000000"/>
                <w:sz w:val="24"/>
              </w:rPr>
              <w:t>：新增项目</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个，“十四五”计划投资</w:t>
            </w:r>
            <w:r>
              <w:rPr>
                <w:rFonts w:hint="eastAsia" w:ascii="仿宋_GB2312" w:hAnsi="仿宋_GB2312" w:eastAsia="仿宋_GB2312" w:cs="仿宋_GB2312"/>
                <w:color w:val="000000"/>
                <w:sz w:val="24"/>
                <w:lang w:val="en-US" w:eastAsia="zh-CN"/>
              </w:rPr>
              <w:t>28.3</w:t>
            </w:r>
            <w:r>
              <w:rPr>
                <w:rFonts w:hint="eastAsia" w:ascii="仿宋_GB2312" w:hAnsi="仿宋_GB2312" w:eastAsia="仿宋_GB2312" w:cs="仿宋_GB2312"/>
                <w:color w:val="000000"/>
                <w:sz w:val="24"/>
              </w:rPr>
              <w:t>亿元，主要包括奉化主城区生态廊道工程、裘村150MW渔光互补分布式光伏项目等。</w:t>
            </w:r>
          </w:p>
          <w:p>
            <w:pPr>
              <w:keepNext w:val="0"/>
              <w:keepLines w:val="0"/>
              <w:suppressLineNumbers w:val="0"/>
              <w:spacing w:before="0" w:beforeAutospacing="0" w:after="0" w:afterAutospacing="0" w:line="380" w:lineRule="exact"/>
              <w:ind w:left="0" w:right="0" w:firstLine="482" w:firstLineChars="200"/>
              <w:rPr>
                <w:rFonts w:hint="default" w:eastAsia="方正仿宋简体" w:cs="方正仿宋简体"/>
                <w:sz w:val="32"/>
                <w:szCs w:val="32"/>
              </w:rPr>
            </w:pPr>
            <w:r>
              <w:rPr>
                <w:rFonts w:hint="eastAsia" w:ascii="仿宋_GB2312" w:hAnsi="仿宋_GB2312" w:eastAsia="仿宋_GB2312" w:cs="仿宋_GB2312"/>
                <w:b/>
                <w:bCs/>
                <w:color w:val="000000"/>
                <w:sz w:val="24"/>
              </w:rPr>
              <w:t>公共设施领域</w:t>
            </w:r>
            <w:r>
              <w:rPr>
                <w:rFonts w:hint="eastAsia" w:ascii="仿宋_GB2312" w:hAnsi="仿宋_GB2312" w:eastAsia="仿宋_GB2312" w:cs="仿宋_GB2312"/>
                <w:color w:val="000000"/>
                <w:sz w:val="24"/>
              </w:rPr>
              <w:t>：新增项目10个，“十四五”计划投资</w:t>
            </w:r>
            <w:r>
              <w:rPr>
                <w:rFonts w:hint="eastAsia" w:ascii="仿宋_GB2312" w:hAnsi="仿宋_GB2312" w:eastAsia="仿宋_GB2312" w:cs="仿宋_GB2312"/>
                <w:color w:val="000000"/>
                <w:sz w:val="24"/>
                <w:lang w:val="en-US" w:eastAsia="zh-CN"/>
              </w:rPr>
              <w:t>18.6</w:t>
            </w:r>
            <w:r>
              <w:rPr>
                <w:rFonts w:hint="eastAsia" w:ascii="仿宋_GB2312" w:hAnsi="仿宋_GB2312" w:eastAsia="仿宋_GB2312" w:cs="仿宋_GB2312"/>
                <w:color w:val="000000"/>
                <w:sz w:val="24"/>
              </w:rPr>
              <w:t>亿元，主要包括职教中心迁建工程、示范片区居民点梳理式改造、宁波市奉化区西部公益性墓地建设项目等。</w:t>
            </w:r>
          </w:p>
        </w:tc>
      </w:tr>
    </w:tbl>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部分项目处于开发边界外，项目清单详见附表4。</w:t>
      </w:r>
    </w:p>
    <w:p>
      <w:pPr>
        <w:topLinePunct w:val="0"/>
        <w:snapToGrid/>
        <w:spacing w:before="0" w:after="0" w:line="580" w:lineRule="exact"/>
        <w:ind w:firstLine="640" w:firstLineChars="200"/>
        <w:outlineLvl w:val="9"/>
        <w:rPr>
          <w:rFonts w:hint="eastAsia" w:ascii="黑体" w:hAnsi="黑体" w:eastAsia="黑体" w:cs="黑体"/>
          <w:sz w:val="32"/>
          <w:szCs w:val="32"/>
        </w:rPr>
      </w:pPr>
      <w:bookmarkStart w:id="29" w:name="_Toc145087781"/>
      <w:bookmarkStart w:id="30" w:name="_Toc18219"/>
      <w:bookmarkStart w:id="31" w:name="_Toc21581"/>
      <w:bookmarkStart w:id="32" w:name="_Toc5136"/>
      <w:bookmarkStart w:id="33" w:name="_Toc9874"/>
      <w:bookmarkStart w:id="34" w:name="_Toc20165"/>
      <w:bookmarkStart w:id="35" w:name="_Toc18008"/>
      <w:bookmarkStart w:id="36" w:name="_Toc22130"/>
      <w:bookmarkStart w:id="37" w:name="_Toc19490"/>
      <w:bookmarkStart w:id="38" w:name="_Toc6800"/>
      <w:bookmarkStart w:id="39" w:name="_Toc18220"/>
      <w:bookmarkStart w:id="40" w:name="_Toc60663572"/>
      <w:bookmarkStart w:id="41" w:name="_Toc22555"/>
      <w:r>
        <w:rPr>
          <w:rFonts w:hint="eastAsia" w:ascii="黑体" w:hAnsi="黑体" w:eastAsia="黑体" w:cs="黑体"/>
          <w:b w:val="0"/>
          <w:bCs w:val="0"/>
          <w:sz w:val="32"/>
          <w:szCs w:val="32"/>
        </w:rPr>
        <w:t>三、经验总结及问题形势分析</w:t>
      </w:r>
      <w:bookmarkEnd w:id="29"/>
      <w:bookmarkEnd w:id="30"/>
      <w:bookmarkEnd w:id="31"/>
      <w:bookmarkEnd w:id="32"/>
    </w:p>
    <w:p>
      <w:pPr>
        <w:spacing w:line="580" w:lineRule="exact"/>
        <w:ind w:firstLine="640" w:firstLineChars="200"/>
        <w:outlineLvl w:val="9"/>
        <w:rPr>
          <w:rFonts w:hint="eastAsia" w:ascii="楷体_GB2312" w:hAnsi="楷体_GB2312" w:eastAsia="楷体_GB2312" w:cs="楷体_GB2312"/>
          <w:sz w:val="32"/>
          <w:szCs w:val="32"/>
        </w:rPr>
      </w:pPr>
      <w:bookmarkStart w:id="42" w:name="_Toc22254"/>
      <w:bookmarkStart w:id="43" w:name="_Toc17517"/>
      <w:bookmarkStart w:id="44" w:name="_Toc25049"/>
      <w:bookmarkStart w:id="45" w:name="_Toc4345"/>
      <w:r>
        <w:rPr>
          <w:rFonts w:hint="eastAsia" w:ascii="楷体_GB2312" w:hAnsi="楷体_GB2312" w:eastAsia="楷体_GB2312" w:cs="楷体_GB2312"/>
          <w:sz w:val="32"/>
          <w:szCs w:val="32"/>
        </w:rPr>
        <w:t>（一）《纲要》实施经验总结</w:t>
      </w:r>
      <w:bookmarkEnd w:id="42"/>
      <w:bookmarkEnd w:id="43"/>
      <w:bookmarkEnd w:id="44"/>
      <w:bookmarkEnd w:id="45"/>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年多来的实施情况表明，《纲要》所确定的发展思路、发展目标、重点任务符合区情和发展实际，特别是将现代化滨海大都市健康美丽新城区作为“十四五”期间总引领的把握是准确的，具有较强的预见性、前瞻性和指导性。同时，在实施过程中也形成了发展经验和规律认识，相关做法及经验总结如下。</w:t>
      </w:r>
    </w:p>
    <w:p>
      <w:pPr>
        <w:spacing w:line="580" w:lineRule="exact"/>
        <w:ind w:firstLine="643" w:firstLineChars="200"/>
        <w:rPr>
          <w:rFonts w:hint="eastAsia" w:ascii="黑体" w:hAnsi="黑体" w:eastAsia="黑体" w:cs="黑体"/>
          <w:sz w:val="32"/>
          <w:szCs w:val="32"/>
        </w:rPr>
      </w:pPr>
      <w:r>
        <w:rPr>
          <w:rFonts w:hint="eastAsia" w:ascii="仿宋_GB2312" w:hAnsi="仿宋_GB2312" w:eastAsia="仿宋_GB2312" w:cs="仿宋_GB2312"/>
          <w:b/>
          <w:bCs/>
          <w:sz w:val="32"/>
          <w:szCs w:val="32"/>
        </w:rPr>
        <w:t>坚持一张蓝图绘到底，在发展中推动区域功能定位迭代升级。</w:t>
      </w:r>
      <w:r>
        <w:rPr>
          <w:rFonts w:hint="eastAsia" w:ascii="仿宋_GB2312" w:hAnsi="仿宋_GB2312" w:eastAsia="仿宋_GB2312" w:cs="仿宋_GB2312"/>
          <w:sz w:val="32"/>
          <w:szCs w:val="32"/>
        </w:rPr>
        <w:t>“十四五”以来，奉化区在准确把握“新城区”所处历史方位基础上，坚持“健康美丽”这一城市中长期功能定位不动摇，持续丰富“现代化”新内涵，在“全域美丽”的底色上续写“健康”篇章，推动高质量发展与高品质生活互促共进，高颜值城市与高效能治理形神兼备，高昂奋斗与高获得感相得益彰。奉化区健康指数持续提升，连续4年获评健康浙江考核优秀等次。平台支撑更加有力，宁南新城以生命健康服务方向成功入选省第二批现代服务业创新发展区，为宁波市唯一医养消费服务集聚区、市区两级生命科学重点产业平台。健康产业加快</w:t>
      </w:r>
      <w:r>
        <w:rPr>
          <w:rFonts w:hint="eastAsia" w:ascii="仿宋_GB2312" w:hAnsi="仿宋_GB2312" w:eastAsia="仿宋_GB2312" w:cs="仿宋_GB2312"/>
          <w:sz w:val="32"/>
          <w:szCs w:val="32"/>
          <w:lang w:val="en-US" w:eastAsia="zh-CN"/>
        </w:rPr>
        <w:t>培育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研究出台《关于加快推进生物医药产业发展的若干意见》，加大主导产业扶持力度；</w:t>
      </w:r>
      <w:r>
        <w:rPr>
          <w:rFonts w:hint="eastAsia" w:ascii="仿宋_GB2312" w:hAnsi="仿宋_GB2312" w:eastAsia="仿宋_GB2312" w:cs="仿宋_GB2312"/>
          <w:sz w:val="32"/>
          <w:szCs w:val="32"/>
        </w:rPr>
        <w:t>MAH药品上市许可持证总部项目等一批头部企业和前沿学科项目落地，积极打造“医学研”产业闭环，产业集聚效应初现。医学高峰建设推进有力，</w:t>
      </w:r>
      <w:r>
        <w:rPr>
          <w:rFonts w:hint="eastAsia" w:ascii="仿宋_GB2312" w:hAnsi="仿宋_GB2312" w:eastAsia="仿宋_GB2312" w:cs="仿宋_GB2312"/>
          <w:color w:val="000000"/>
          <w:sz w:val="32"/>
          <w:szCs w:val="32"/>
        </w:rPr>
        <w:t>市第一医院方桥院区</w:t>
      </w:r>
      <w:r>
        <w:rPr>
          <w:rFonts w:hint="eastAsia" w:ascii="仿宋_GB2312" w:hAnsi="仿宋_GB2312" w:eastAsia="仿宋_GB2312" w:cs="仿宋_GB2312"/>
          <w:color w:val="000000"/>
          <w:sz w:val="32"/>
          <w:szCs w:val="32"/>
          <w:lang w:val="en-US" w:eastAsia="zh-CN"/>
        </w:rPr>
        <w:t>建成</w:t>
      </w:r>
      <w:r>
        <w:rPr>
          <w:rFonts w:hint="eastAsia" w:ascii="仿宋_GB2312" w:hAnsi="仿宋_GB2312" w:eastAsia="仿宋_GB2312" w:cs="仿宋_GB2312"/>
          <w:color w:val="000000"/>
          <w:sz w:val="32"/>
          <w:szCs w:val="32"/>
        </w:rPr>
        <w:t>投用，市公共卫生临床中</w:t>
      </w:r>
      <w:r>
        <w:rPr>
          <w:rFonts w:hint="eastAsia" w:ascii="仿宋_GB2312" w:hAnsi="仿宋_GB2312" w:eastAsia="仿宋_GB2312" w:cs="仿宋_GB2312"/>
          <w:color w:val="000000"/>
          <w:spacing w:val="-6"/>
          <w:sz w:val="32"/>
          <w:szCs w:val="32"/>
        </w:rPr>
        <w:t>心加快建设</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lang w:val="en-US" w:eastAsia="zh-CN"/>
        </w:rPr>
        <w:t>区中医院迁建工程完工并投用，区人民医院迁建工程有序推进。</w:t>
      </w:r>
      <w:r>
        <w:rPr>
          <w:rFonts w:hint="eastAsia" w:ascii="仿宋_GB2312" w:hAnsi="仿宋_GB2312" w:eastAsia="仿宋_GB2312" w:cs="仿宋_GB2312"/>
          <w:sz w:val="32"/>
          <w:szCs w:val="32"/>
        </w:rPr>
        <w:t>省地共建取得突破，区人民医院挂牌省肿瘤医院宁波院区，省中医院奉化分院、省中医院奉化中医诊疗中心正式成立，区妇幼保健院与上海红房子妇产科医院签署合作协议，推动共建“3+1”妇产科医学中心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实现群众“家门口”享受省级名院名医诊疗服务。一批重大工程项目加快布局，一系列工作成效亮点频出，使得奉化在全市大局中的“健康”特色与功能持续彰显。</w:t>
      </w:r>
      <w:r>
        <w:rPr>
          <w:rFonts w:hint="eastAsia" w:ascii="黑体" w:hAnsi="黑体" w:eastAsia="黑体" w:cs="黑体"/>
          <w:sz w:val="32"/>
          <w:szCs w:val="32"/>
        </w:rPr>
        <w:t>经验表明，“政贵有恒，治须有常”，许多工作是牵一发而动全身的系统工程，需要锲而不舍、一以贯之才能实现，久久为功方可善作善成。</w:t>
      </w:r>
    </w:p>
    <w:p>
      <w:pPr>
        <w:spacing w:line="580" w:lineRule="exact"/>
        <w:ind w:firstLine="643" w:firstLineChars="200"/>
        <w:rPr>
          <w:rFonts w:ascii="仿宋_GB2312" w:hAnsi="仿宋_GB2312" w:eastAsia="方正黑体简体" w:cs="仿宋_GB2312"/>
          <w:spacing w:val="-2"/>
          <w:sz w:val="32"/>
          <w:szCs w:val="32"/>
        </w:rPr>
      </w:pPr>
      <w:r>
        <w:rPr>
          <w:rFonts w:hint="eastAsia" w:ascii="仿宋_GB2312" w:hAnsi="仿宋_GB2312" w:eastAsia="仿宋_GB2312" w:cs="仿宋_GB2312"/>
          <w:b/>
          <w:bCs/>
          <w:sz w:val="32"/>
          <w:szCs w:val="32"/>
        </w:rPr>
        <w:t>坚持全面打好“青创牌”，打造具有强大吸引力的人才之城。</w:t>
      </w:r>
      <w:r>
        <w:rPr>
          <w:rFonts w:hint="eastAsia" w:ascii="仿宋_GB2312" w:hAnsi="仿宋_GB2312" w:eastAsia="仿宋_GB2312" w:cs="仿宋_GB2312"/>
          <w:sz w:val="32"/>
          <w:szCs w:val="32"/>
        </w:rPr>
        <w:t>奉化区具有较好的生态优势、成本优势和区位优势，是广大青年梦想的启航之地、创业的理想之城、生活的宜居之所。“十四五”以来，奉化区坚持人才资源和创新要素“双源撬动”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通过构建人才“引育留用”全链条政策体系，发挥创新平台载体引才育才作用，加快集聚一批高技能领军人才、专业人才和蓝领人才，为奉化</w:t>
      </w:r>
      <w:r>
        <w:rPr>
          <w:rFonts w:hint="eastAsia" w:ascii="仿宋_GB2312" w:hAnsi="仿宋_GB2312" w:eastAsia="仿宋_GB2312" w:cs="仿宋_GB2312"/>
          <w:sz w:val="32"/>
          <w:szCs w:val="32"/>
          <w:lang w:val="en-US" w:eastAsia="zh-CN"/>
        </w:rPr>
        <w:t>建设“青创之城”</w:t>
      </w:r>
      <w:r>
        <w:rPr>
          <w:rFonts w:hint="eastAsia" w:ascii="仿宋_GB2312" w:hAnsi="仿宋_GB2312" w:eastAsia="仿宋_GB2312" w:cs="仿宋_GB2312"/>
          <w:sz w:val="32"/>
          <w:szCs w:val="32"/>
        </w:rPr>
        <w:t>奠定</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坚实的人才基础。强势推进各类人才政策，迭代升级“人才新政”3.0版，系统谋划“1+4+X”全链条人才政策体系，大力实施高层次人才招引和领军型创业项目招引两大攻坚行动。“凤麓英才”计划实施以来，评选项目226个，集聚各类人才3000余人。建成运营奉麓青研院，举办凤麓青创大赛，新建4家青年人才驿站，为青年人才发展打造优质生态。</w:t>
      </w:r>
      <w:r>
        <w:rPr>
          <w:rFonts w:hint="eastAsia" w:ascii="仿宋_GB2312" w:hAnsi="仿宋_GB2312" w:eastAsia="仿宋_GB2312" w:cs="仿宋_GB2312"/>
          <w:sz w:val="32"/>
          <w:szCs w:val="32"/>
          <w:lang w:val="en-US" w:eastAsia="zh-CN"/>
        </w:rPr>
        <w:t>依托良好的人才生态，鼓励青年人才创业创新，积极开展</w:t>
      </w:r>
      <w:r>
        <w:rPr>
          <w:rFonts w:hint="eastAsia" w:ascii="仿宋_GB2312" w:hAnsi="仿宋_GB2312" w:eastAsia="仿宋_GB2312" w:cs="仿宋_GB2312"/>
          <w:color w:val="000000"/>
          <w:spacing w:val="6"/>
          <w:sz w:val="32"/>
          <w:szCs w:val="32"/>
          <w:lang w:val="en-US" w:eastAsia="zh-CN"/>
        </w:rPr>
        <w:t>“小而美”苗子企业培育，2021—2023年</w:t>
      </w:r>
      <w:r>
        <w:rPr>
          <w:rFonts w:hint="eastAsia" w:ascii="仿宋_GB2312" w:hAnsi="仿宋_GB2312" w:eastAsia="仿宋_GB2312" w:cs="仿宋_GB2312"/>
          <w:color w:val="000000"/>
          <w:spacing w:val="6"/>
          <w:sz w:val="32"/>
          <w:szCs w:val="32"/>
          <w:lang w:eastAsia="zh-CN"/>
        </w:rPr>
        <w:t>，“小而美”</w:t>
      </w:r>
      <w:r>
        <w:rPr>
          <w:rFonts w:hint="eastAsia" w:ascii="仿宋_GB2312" w:hAnsi="仿宋_GB2312" w:eastAsia="仿宋_GB2312" w:cs="仿宋_GB2312"/>
          <w:color w:val="000000"/>
          <w:spacing w:val="6"/>
          <w:sz w:val="32"/>
          <w:szCs w:val="32"/>
          <w:lang w:val="en-US" w:eastAsia="zh-CN"/>
        </w:rPr>
        <w:t>企业</w:t>
      </w:r>
      <w:r>
        <w:rPr>
          <w:rFonts w:hint="eastAsia" w:ascii="仿宋_GB2312" w:hAnsi="仿宋_GB2312" w:eastAsia="仿宋_GB2312" w:cs="仿宋_GB2312"/>
          <w:color w:val="000000"/>
          <w:spacing w:val="6"/>
          <w:sz w:val="32"/>
          <w:szCs w:val="32"/>
          <w:lang w:eastAsia="zh-CN"/>
        </w:rPr>
        <w:t>政策兑现5544.83万元，</w:t>
      </w:r>
      <w:r>
        <w:rPr>
          <w:rFonts w:hint="eastAsia" w:ascii="仿宋_GB2312" w:hAnsi="仿宋_GB2312" w:eastAsia="仿宋_GB2312" w:cs="仿宋_GB2312"/>
          <w:color w:val="000000"/>
          <w:spacing w:val="6"/>
          <w:sz w:val="32"/>
          <w:szCs w:val="32"/>
          <w:lang w:val="en-US" w:eastAsia="zh-CN"/>
        </w:rPr>
        <w:t>企业</w:t>
      </w:r>
      <w:r>
        <w:rPr>
          <w:rFonts w:hint="eastAsia" w:ascii="仿宋_GB2312" w:hAnsi="仿宋_GB2312" w:eastAsia="仿宋_GB2312" w:cs="仿宋_GB2312"/>
          <w:color w:val="000000"/>
          <w:spacing w:val="6"/>
          <w:sz w:val="32"/>
          <w:szCs w:val="32"/>
          <w:lang w:eastAsia="zh-CN"/>
        </w:rPr>
        <w:t>研发投入占当年主营业务收入平均比重为12.5%，</w:t>
      </w:r>
      <w:r>
        <w:rPr>
          <w:rFonts w:hint="eastAsia" w:ascii="仿宋_GB2312" w:hAnsi="仿宋_GB2312" w:eastAsia="仿宋_GB2312" w:cs="仿宋_GB2312"/>
          <w:color w:val="000000"/>
          <w:spacing w:val="6"/>
          <w:sz w:val="32"/>
          <w:szCs w:val="32"/>
          <w:lang w:val="en-US" w:eastAsia="zh-CN"/>
        </w:rPr>
        <w:t>区域创新活力持续增强，创新生态环境不断提升。截至2022年底，宁波启迪智能装备（气动）科技园、凤麓新材料加速器、波导卫星通信科创园等8家创新孵化平台在孵企业296家，园区营收约25.8亿元，实缴税金3849万元。“小而美”企业为我区经济发展注入了新鲜血液，成为我区创新驱动、结构调整和实体经济发展的生力军。</w:t>
      </w:r>
      <w:r>
        <w:rPr>
          <w:rFonts w:hint="eastAsia" w:ascii="黑体" w:hAnsi="黑体" w:eastAsia="黑体" w:cs="黑体"/>
          <w:sz w:val="32"/>
          <w:szCs w:val="32"/>
        </w:rPr>
        <w:t>经验表明，</w:t>
      </w:r>
      <w:r>
        <w:rPr>
          <w:rFonts w:hint="eastAsia" w:ascii="黑体" w:hAnsi="黑体" w:eastAsia="黑体" w:cs="黑体"/>
          <w:sz w:val="32"/>
          <w:szCs w:val="32"/>
          <w:highlight w:val="none"/>
        </w:rPr>
        <w:t>创新驱动实质上是人才驱动，</w:t>
      </w:r>
      <w:r>
        <w:rPr>
          <w:rFonts w:hint="eastAsia" w:ascii="黑体" w:hAnsi="黑体" w:eastAsia="黑体" w:cs="黑体"/>
          <w:sz w:val="32"/>
          <w:szCs w:val="32"/>
        </w:rPr>
        <w:t>通过高站位谋划、大手笔投入，推动城市与</w:t>
      </w:r>
      <w:r>
        <w:rPr>
          <w:rFonts w:hint="eastAsia" w:ascii="黑体" w:hAnsi="黑体" w:eastAsia="黑体" w:cs="黑体"/>
          <w:sz w:val="32"/>
          <w:szCs w:val="32"/>
          <w:lang w:val="en-US" w:eastAsia="zh-CN"/>
        </w:rPr>
        <w:t>人才</w:t>
      </w:r>
      <w:r>
        <w:rPr>
          <w:rFonts w:hint="eastAsia" w:ascii="黑体" w:hAnsi="黑体" w:eastAsia="黑体" w:cs="黑体"/>
          <w:sz w:val="32"/>
          <w:szCs w:val="32"/>
        </w:rPr>
        <w:t>共生共盛，才能</w:t>
      </w:r>
      <w:r>
        <w:rPr>
          <w:rFonts w:hint="eastAsia" w:ascii="黑体" w:hAnsi="黑体" w:eastAsia="黑体" w:cs="黑体"/>
          <w:sz w:val="32"/>
          <w:szCs w:val="32"/>
          <w:lang w:val="en-US" w:eastAsia="zh-CN"/>
        </w:rPr>
        <w:t>构建</w:t>
      </w:r>
      <w:r>
        <w:rPr>
          <w:rFonts w:hint="eastAsia" w:ascii="黑体" w:hAnsi="黑体" w:eastAsia="黑体" w:cs="黑体"/>
          <w:sz w:val="32"/>
          <w:szCs w:val="32"/>
        </w:rPr>
        <w:t>一流的创新</w:t>
      </w:r>
      <w:r>
        <w:rPr>
          <w:rFonts w:hint="eastAsia" w:ascii="黑体" w:hAnsi="黑体" w:eastAsia="黑体" w:cs="黑体"/>
          <w:sz w:val="32"/>
          <w:szCs w:val="32"/>
          <w:lang w:val="en-US" w:eastAsia="zh-CN"/>
        </w:rPr>
        <w:t>创业生态</w:t>
      </w:r>
      <w:r>
        <w:rPr>
          <w:rFonts w:hint="eastAsia" w:ascii="黑体" w:hAnsi="黑体" w:eastAsia="黑体" w:cs="黑体"/>
          <w:sz w:val="32"/>
          <w:szCs w:val="32"/>
        </w:rPr>
        <w:t>，拥有制胜未来的主导权和持续发展的</w:t>
      </w:r>
      <w:r>
        <w:rPr>
          <w:rFonts w:hint="eastAsia" w:ascii="黑体" w:hAnsi="黑体" w:eastAsia="黑体" w:cs="黑体"/>
          <w:sz w:val="32"/>
          <w:szCs w:val="32"/>
          <w:lang w:val="en-US" w:eastAsia="zh-CN"/>
        </w:rPr>
        <w:t>源</w:t>
      </w:r>
      <w:r>
        <w:rPr>
          <w:rFonts w:hint="eastAsia" w:ascii="黑体" w:hAnsi="黑体" w:eastAsia="黑体" w:cs="黑体"/>
          <w:sz w:val="32"/>
          <w:szCs w:val="32"/>
        </w:rPr>
        <w:t>动力。</w:t>
      </w:r>
    </w:p>
    <w:p>
      <w:pPr>
        <w:spacing w:line="580" w:lineRule="exact"/>
        <w:ind w:firstLine="643" w:firstLineChars="200"/>
        <w:rPr>
          <w:rFonts w:eastAsia="方正仿宋简体" w:cs="方正仿宋简体"/>
          <w:sz w:val="32"/>
          <w:szCs w:val="32"/>
        </w:rPr>
      </w:pPr>
      <w:r>
        <w:rPr>
          <w:rFonts w:hint="eastAsia" w:ascii="仿宋_GB2312" w:hAnsi="仿宋_GB2312" w:eastAsia="仿宋_GB2312" w:cs="仿宋_GB2312"/>
          <w:b/>
          <w:bCs/>
          <w:sz w:val="32"/>
          <w:szCs w:val="32"/>
        </w:rPr>
        <w:t>坚持全域国土大整治，为高质量发展腾挪新空间。</w:t>
      </w:r>
      <w:r>
        <w:rPr>
          <w:rFonts w:hint="eastAsia" w:ascii="仿宋_GB2312" w:hAnsi="仿宋_GB2312" w:eastAsia="仿宋_GB2312" w:cs="仿宋_GB2312"/>
          <w:sz w:val="32"/>
          <w:szCs w:val="32"/>
        </w:rPr>
        <w:t>依托宁波</w:t>
      </w:r>
      <w:r>
        <w:rPr>
          <w:rFonts w:hint="eastAsia" w:ascii="仿宋_GB2312" w:hAnsi="仿宋_GB2312" w:eastAsia="仿宋_GB2312" w:cs="仿宋_GB2312"/>
          <w:sz w:val="32"/>
          <w:szCs w:val="32"/>
          <w:lang w:val="en-US" w:eastAsia="zh-CN"/>
        </w:rPr>
        <w:t>列入</w:t>
      </w:r>
      <w:r>
        <w:rPr>
          <w:rFonts w:hint="eastAsia" w:ascii="仿宋_GB2312" w:hAnsi="仿宋_GB2312" w:eastAsia="仿宋_GB2312" w:cs="仿宋_GB2312"/>
          <w:sz w:val="32"/>
          <w:szCs w:val="32"/>
        </w:rPr>
        <w:t>全国全域国土空间综合整治试点城市的有利契机，</w:t>
      </w:r>
      <w:r>
        <w:rPr>
          <w:rFonts w:hint="eastAsia" w:ascii="仿宋_GB2312" w:hAnsi="仿宋_GB2312" w:eastAsia="仿宋_GB2312" w:cs="仿宋_GB2312"/>
          <w:sz w:val="32"/>
          <w:szCs w:val="32"/>
          <w:lang w:val="en-US" w:eastAsia="zh-CN"/>
        </w:rPr>
        <w:t>将国土空间治理与产业用地整治、城市有机更新、基础设施建设、生态空间重塑有机结合起来，</w:t>
      </w:r>
      <w:r>
        <w:rPr>
          <w:rFonts w:hint="eastAsia" w:ascii="仿宋_GB2312" w:hAnsi="仿宋_GB2312" w:eastAsia="仿宋_GB2312" w:cs="仿宋_GB2312"/>
          <w:sz w:val="32"/>
          <w:szCs w:val="32"/>
        </w:rPr>
        <w:t>在全市率先开展农用地、工业用地、城镇低效用地摸底，并根据奉化发展战略、地形地貌，划定了全市规模最大、总面积达739.6平方公里的六大整治片区。宁南示范片区入选宁波市首批全域国土空间综合整治试点，全域整治</w:t>
      </w:r>
      <w:r>
        <w:rPr>
          <w:rFonts w:hint="eastAsia" w:ascii="仿宋_GB2312" w:hAnsi="仿宋_GB2312" w:eastAsia="仿宋_GB2312" w:cs="仿宋_GB2312"/>
          <w:sz w:val="32"/>
          <w:szCs w:val="32"/>
          <w:lang w:eastAsia="zh-CN"/>
        </w:rPr>
        <w:t>获评</w:t>
      </w:r>
      <w:r>
        <w:rPr>
          <w:rFonts w:hint="eastAsia" w:ascii="仿宋_GB2312" w:hAnsi="仿宋_GB2312" w:eastAsia="仿宋_GB2312" w:cs="仿宋_GB2312"/>
          <w:sz w:val="32"/>
          <w:szCs w:val="32"/>
        </w:rPr>
        <w:t>省政府督查激励，通过全域空间系统重塑，全区共释放土地潜力2000余亩，有效缓解了用地压力。截至2023年6月，全域空间系统重塑行动已实施项目29个，农业“标准地”改革列入省级试点，“剡水田园万亩耕地”一期工程顺利完工，4个“千亩方”集中连片整治项目正式立项，大堰镇“整镇重整”试点有序推进，超千名山区人口向镇区聚集。与此同时，把空间整治与城市更新“精特亮”建设、农房改造等工作有机结合，以空间重构引领功能重造、形象重塑。“十四五”期间累计完成老旧小区改造项目9个，背街小巷整治、拔杆清网、空闲地块利用等顺利完成；差异化推动农房改造，累计受益农户数量达14272户，改造力度和成效居全市前列。</w:t>
      </w:r>
      <w:r>
        <w:rPr>
          <w:rFonts w:hint="eastAsia" w:ascii="黑体" w:hAnsi="黑体" w:eastAsia="黑体" w:cs="黑体"/>
          <w:sz w:val="32"/>
          <w:szCs w:val="32"/>
        </w:rPr>
        <w:t>经验表明，资源有限而需求无限，只有不断提高资源的配置利用效率，才能满足人民群众日益增长的美好生活需要。</w:t>
      </w:r>
    </w:p>
    <w:p>
      <w:pPr>
        <w:spacing w:line="580" w:lineRule="exact"/>
        <w:ind w:firstLine="643" w:firstLineChars="200"/>
        <w:rPr>
          <w:rFonts w:ascii="方正黑体简体" w:hAnsi="方正黑体简体" w:eastAsia="方正黑体简体" w:cs="方正黑体简体"/>
          <w:sz w:val="32"/>
          <w:szCs w:val="32"/>
        </w:rPr>
      </w:pPr>
      <w:r>
        <w:rPr>
          <w:rFonts w:hint="eastAsia" w:ascii="仿宋_GB2312" w:hAnsi="仿宋_GB2312" w:eastAsia="仿宋_GB2312" w:cs="仿宋_GB2312"/>
          <w:b/>
          <w:bCs/>
          <w:sz w:val="32"/>
          <w:szCs w:val="32"/>
        </w:rPr>
        <w:t>坚持共同富裕为人民，推动基本公共服务同城同标。</w:t>
      </w:r>
      <w:r>
        <w:rPr>
          <w:rFonts w:hint="eastAsia" w:ascii="仿宋_GB2312" w:hAnsi="仿宋_GB2312" w:eastAsia="仿宋_GB2312" w:cs="仿宋_GB2312"/>
          <w:sz w:val="32"/>
          <w:szCs w:val="32"/>
        </w:rPr>
        <w:t>随着同城发展的持续深化，人民群众对于过上更有质量、更加美好的生活也充满了新的向往和期待。“十四五”以来，</w:t>
      </w:r>
      <w:r>
        <w:rPr>
          <w:rFonts w:hint="eastAsia" w:ascii="仿宋_GB2312" w:hAnsi="仿宋_GB2312" w:eastAsia="仿宋_GB2312" w:cs="仿宋_GB2312"/>
          <w:sz w:val="32"/>
          <w:szCs w:val="32"/>
          <w:lang w:val="en-US" w:eastAsia="zh-CN"/>
        </w:rPr>
        <w:t>通过滚动实施两轮194项民生同城化项目，</w:t>
      </w:r>
      <w:r>
        <w:rPr>
          <w:rFonts w:hint="eastAsia" w:ascii="仿宋_GB2312" w:hAnsi="仿宋_GB2312" w:eastAsia="仿宋_GB2312" w:cs="仿宋_GB2312"/>
          <w:b w:val="0"/>
          <w:bCs w:val="0"/>
          <w:sz w:val="32"/>
          <w:szCs w:val="32"/>
          <w:lang w:val="en-US" w:eastAsia="zh-CN"/>
        </w:rPr>
        <w:t>全力推动教育、医疗健康、社会保障、文化等领域社会公共服务提质提标，实现全生命周期公共服务从“奉有”到“奉优”的量质提升。</w:t>
      </w:r>
      <w:r>
        <w:rPr>
          <w:rFonts w:hint="eastAsia" w:ascii="仿宋_GB2312" w:hAnsi="仿宋_GB2312" w:eastAsia="仿宋_GB2312" w:cs="仿宋_GB2312"/>
          <w:sz w:val="32"/>
          <w:szCs w:val="32"/>
          <w:lang w:val="en-US" w:eastAsia="zh-CN"/>
        </w:rPr>
        <w:t>依托</w:t>
      </w:r>
      <w:r>
        <w:rPr>
          <w:rFonts w:hint="eastAsia" w:ascii="仿宋_GB2312" w:hAnsi="仿宋_GB2312" w:eastAsia="仿宋_GB2312" w:cs="仿宋_GB2312"/>
          <w:sz w:val="32"/>
          <w:szCs w:val="32"/>
        </w:rPr>
        <w:t>共同富裕特色区建设，深入实施“扩中”“提低”行动，成立2亿元规模“奉邑共富基金”，实施稳就业惠民生和“消薄”攻坚行动，着力推动村集体经济和低收入农户增收，老年“共享食堂”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滕头乡村振兴学院列入市级标志性成果，“七彩巧富”巾帼创富工程获评市共同富裕首批最佳实践案例；创新探索“共富舱”增收新模式，以“共富工坊”带动3600余名农户人均增收1.5万元，获评全省推动农民农村共同富裕成绩突出集体。迭代完善“奉有”民生幸福品牌，办好年度民生实事，聚焦建设教育强区、构建大社保体系、优化“一老一小”服务等重点领域，推动全区基本公共服务由机会均等加快向水平均等转变，推动新一轮发展成果更多更好地惠及全体。</w:t>
      </w:r>
      <w:r>
        <w:rPr>
          <w:rFonts w:hint="eastAsia" w:ascii="黑体" w:hAnsi="黑体" w:eastAsia="黑体" w:cs="黑体"/>
          <w:sz w:val="32"/>
          <w:szCs w:val="32"/>
        </w:rPr>
        <w:t>经验表明，树政绩的根本目的是为人民谋利益，为民办实事是高质量发展的出发点和落脚点，只有牢牢把握这一总要求，坚定不移增进民生福祉，方能以高质量发展绘就新时代美好生活新蓝图。</w:t>
      </w:r>
    </w:p>
    <w:p>
      <w:pPr>
        <w:spacing w:line="580" w:lineRule="exact"/>
        <w:ind w:firstLine="640" w:firstLineChars="200"/>
        <w:outlineLvl w:val="9"/>
        <w:rPr>
          <w:rFonts w:hint="eastAsia" w:ascii="楷体_GB2312" w:hAnsi="楷体_GB2312" w:eastAsia="楷体_GB2312" w:cs="楷体_GB2312"/>
          <w:sz w:val="32"/>
          <w:szCs w:val="32"/>
          <w:lang w:eastAsia="zh-CN"/>
        </w:rPr>
      </w:pPr>
      <w:bookmarkStart w:id="46" w:name="_Toc24299"/>
      <w:bookmarkStart w:id="47" w:name="_Toc19028"/>
      <w:bookmarkStart w:id="48" w:name="_Toc7736"/>
      <w:bookmarkStart w:id="49" w:name="_Toc13566"/>
      <w:r>
        <w:rPr>
          <w:rFonts w:hint="eastAsia" w:ascii="楷体_GB2312" w:hAnsi="楷体_GB2312" w:eastAsia="楷体_GB2312" w:cs="楷体_GB2312"/>
          <w:sz w:val="32"/>
          <w:szCs w:val="32"/>
        </w:rPr>
        <w:t>（二）下一步需要重点关注的若干问题</w:t>
      </w:r>
      <w:bookmarkEnd w:id="46"/>
      <w:bookmarkEnd w:id="47"/>
      <w:bookmarkEnd w:id="48"/>
      <w:bookmarkEnd w:id="49"/>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总体上看，经过两年多的努力，《纲要》实施取得了阶段性成效，也具有较为广泛的社会认同。但综合各方对《纲要》规划前半期实施情况的反馈，全面完成《纲要》各项主要目标任务还存在一些问题。</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 经济稳增长面临多重压力。</w:t>
      </w:r>
      <w:r>
        <w:rPr>
          <w:rFonts w:hint="eastAsia" w:ascii="仿宋_GB2312" w:hAnsi="仿宋_GB2312" w:eastAsia="仿宋_GB2312" w:cs="仿宋_GB2312"/>
          <w:b w:val="0"/>
          <w:bCs w:val="0"/>
          <w:sz w:val="32"/>
          <w:szCs w:val="32"/>
          <w:lang w:val="en-US" w:eastAsia="zh-CN"/>
        </w:rPr>
        <w:t>“十四五”以来，我区出台了各项逆周期调节措施助企纾困，经济活动有所提升，但经济增量相对匮乏，内需活力不足，经济平稳健康运行面临挑战。</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是参与国家及省市</w:t>
      </w:r>
      <w:r>
        <w:rPr>
          <w:rFonts w:hint="eastAsia" w:ascii="仿宋_GB2312" w:hAnsi="仿宋_GB2312" w:eastAsia="仿宋_GB2312" w:cs="仿宋_GB2312"/>
          <w:b/>
          <w:bCs/>
          <w:sz w:val="32"/>
          <w:szCs w:val="32"/>
          <w:lang w:eastAsia="zh-CN"/>
        </w:rPr>
        <w:t>的</w:t>
      </w:r>
      <w:r>
        <w:rPr>
          <w:rFonts w:hint="eastAsia" w:ascii="仿宋_GB2312" w:hAnsi="仿宋_GB2312" w:eastAsia="仿宋_GB2312" w:cs="仿宋_GB2312"/>
          <w:b/>
          <w:bCs/>
          <w:sz w:val="32"/>
          <w:szCs w:val="32"/>
        </w:rPr>
        <w:t>大战略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大平台</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大改革、大项目不多</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城市能级和方位有待进一步提升，制约了创新策源平台、重大产业项目和重大基础设施布局，对招商引资、资源导入、人才引进缺乏吸引力，高质量发展预期和信心有待提升。</w:t>
      </w:r>
      <w:r>
        <w:rPr>
          <w:rFonts w:hint="eastAsia" w:ascii="仿宋_GB2312" w:hAnsi="仿宋_GB2312" w:eastAsia="仿宋_GB2312" w:cs="仿宋_GB2312"/>
          <w:b/>
          <w:bCs/>
          <w:sz w:val="32"/>
          <w:szCs w:val="32"/>
          <w:lang w:val="en-US" w:eastAsia="zh-CN"/>
        </w:rPr>
        <w:t>二是大项目新项目接续乏力</w:t>
      </w:r>
      <w:r>
        <w:rPr>
          <w:rFonts w:hint="eastAsia" w:ascii="仿宋_GB2312" w:hAnsi="仿宋_GB2312" w:eastAsia="仿宋_GB2312" w:cs="仿宋_GB2312"/>
          <w:b w:val="0"/>
          <w:bCs w:val="0"/>
          <w:sz w:val="32"/>
          <w:szCs w:val="32"/>
          <w:lang w:val="en-US" w:eastAsia="zh-CN"/>
        </w:rPr>
        <w:t>，经过前五年高速增长，我区投资总量已稳居全市前列，目前主要依靠存量项目放量</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新开工房地产项目不足，重特大产业项目缺乏，</w:t>
      </w:r>
      <w:r>
        <w:rPr>
          <w:rFonts w:hint="eastAsia" w:ascii="仿宋_GB2312" w:hAnsi="仿宋_GB2312" w:eastAsia="仿宋_GB2312" w:cs="仿宋_GB2312"/>
          <w:sz w:val="32"/>
          <w:szCs w:val="32"/>
        </w:rPr>
        <w:t>部分重大交通、水利等线性工程均有不同程度的迟滞，</w:t>
      </w:r>
      <w:r>
        <w:rPr>
          <w:rFonts w:hint="eastAsia" w:ascii="仿宋_GB2312" w:hAnsi="仿宋_GB2312" w:eastAsia="仿宋_GB2312" w:cs="仿宋_GB2312"/>
          <w:sz w:val="32"/>
          <w:szCs w:val="32"/>
          <w:lang w:val="en-US" w:eastAsia="zh-CN"/>
        </w:rPr>
        <w:t>影响投资的进一步增长</w:t>
      </w:r>
      <w:r>
        <w:rPr>
          <w:rFonts w:hint="eastAsia" w:ascii="仿宋_GB2312" w:hAnsi="仿宋_GB2312" w:eastAsia="仿宋_GB2312" w:cs="仿宋_GB2312"/>
          <w:sz w:val="32"/>
          <w:szCs w:val="32"/>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b/>
          <w:bCs/>
          <w:sz w:val="32"/>
          <w:szCs w:val="32"/>
        </w:rPr>
        <w:t>房地产</w:t>
      </w:r>
      <w:r>
        <w:rPr>
          <w:rFonts w:hint="eastAsia" w:ascii="仿宋_GB2312" w:hAnsi="仿宋_GB2312" w:eastAsia="仿宋_GB2312" w:cs="仿宋_GB2312"/>
          <w:b/>
          <w:bCs/>
          <w:sz w:val="32"/>
          <w:szCs w:val="32"/>
          <w:lang w:val="en-US" w:eastAsia="zh-CN"/>
        </w:rPr>
        <w:t>稳增长面临挑战，</w:t>
      </w:r>
      <w:r>
        <w:rPr>
          <w:rFonts w:hint="eastAsia" w:ascii="仿宋_GB2312" w:hAnsi="仿宋_GB2312" w:eastAsia="仿宋_GB2312" w:cs="仿宋_GB2312"/>
          <w:b w:val="0"/>
          <w:bCs w:val="0"/>
          <w:sz w:val="32"/>
          <w:szCs w:val="32"/>
          <w:lang w:val="en-US" w:eastAsia="zh-CN"/>
        </w:rPr>
        <w:t>房地产业增加值占GDP比重为7%（仅次于工业，排第二），占三产比重为20%，但房地产市场短期内回暖回热迹象不明、预期不佳，联动影响土地出让、财政收入、商品房销售面积、房地产投资、建安工程投资、建筑业总产值、本外币存贷款余额等多项经济指标，以及社会安全稳定。</w:t>
      </w:r>
    </w:p>
    <w:p>
      <w:pPr>
        <w:spacing w:line="58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 新旧动能转换任重道远。</w:t>
      </w:r>
      <w:r>
        <w:rPr>
          <w:rFonts w:hint="eastAsia" w:ascii="仿宋_GB2312" w:hAnsi="仿宋_GB2312" w:eastAsia="仿宋_GB2312" w:cs="仿宋_GB2312"/>
          <w:b w:val="0"/>
          <w:bCs w:val="0"/>
          <w:sz w:val="32"/>
          <w:szCs w:val="32"/>
          <w:lang w:val="en-US" w:eastAsia="zh-CN"/>
        </w:rPr>
        <w:t>“十四五”以来，我区加快产业转型升级，产业规模质量都有了显著提升，</w:t>
      </w:r>
      <w:r>
        <w:rPr>
          <w:rFonts w:hint="eastAsia" w:ascii="仿宋_GB2312" w:hAnsi="仿宋_GB2312" w:eastAsia="仿宋_GB2312" w:cs="仿宋_GB2312"/>
          <w:sz w:val="32"/>
          <w:szCs w:val="32"/>
        </w:rPr>
        <w:t>但产业结构性问题尚未解决，新兴动能培育缓慢，区域争先进位的动能相对乏力。</w:t>
      </w:r>
      <w:r>
        <w:rPr>
          <w:rFonts w:hint="eastAsia" w:ascii="仿宋_GB2312" w:hAnsi="仿宋_GB2312" w:eastAsia="仿宋_GB2312" w:cs="仿宋_GB2312"/>
          <w:b/>
          <w:bCs/>
          <w:sz w:val="32"/>
          <w:szCs w:val="32"/>
          <w:lang w:val="en-US" w:eastAsia="zh-CN"/>
        </w:rPr>
        <w:t>一是产业结构仍需优化，</w:t>
      </w:r>
      <w:r>
        <w:rPr>
          <w:rFonts w:hint="eastAsia" w:ascii="仿宋_GB2312" w:hAnsi="仿宋_GB2312" w:eastAsia="仿宋_GB2312" w:cs="仿宋_GB2312"/>
          <w:sz w:val="32"/>
          <w:szCs w:val="32"/>
        </w:rPr>
        <w:t>制造业中，传统产业占比较高，</w:t>
      </w:r>
      <w:r>
        <w:rPr>
          <w:rFonts w:hint="eastAsia" w:ascii="仿宋_GB2312" w:hAnsi="仿宋_GB2312" w:eastAsia="仿宋_GB2312" w:cs="仿宋_GB2312"/>
          <w:sz w:val="32"/>
          <w:szCs w:val="32"/>
          <w:lang w:val="en-US" w:eastAsia="zh-CN"/>
        </w:rPr>
        <w:t>工业一业独大、中烟</w:t>
      </w:r>
      <w:r>
        <w:rPr>
          <w:rFonts w:hint="eastAsia" w:ascii="仿宋_GB2312" w:hAnsi="仿宋_GB2312" w:eastAsia="仿宋_GB2312" w:cs="仿宋_GB2312"/>
          <w:b w:val="0"/>
          <w:bCs w:val="0"/>
          <w:sz w:val="32"/>
          <w:szCs w:val="32"/>
          <w:lang w:val="en-US" w:eastAsia="zh-CN"/>
        </w:rPr>
        <w:t>一企独大现状依然存在；</w:t>
      </w:r>
      <w:r>
        <w:rPr>
          <w:rFonts w:hint="eastAsia" w:ascii="仿宋_GB2312" w:hAnsi="仿宋_GB2312" w:eastAsia="仿宋_GB2312" w:cs="仿宋_GB2312"/>
          <w:sz w:val="32"/>
          <w:szCs w:val="32"/>
        </w:rPr>
        <w:t>服务业规模总量</w:t>
      </w:r>
      <w:r>
        <w:rPr>
          <w:rFonts w:hint="eastAsia" w:ascii="仿宋_GB2312" w:hAnsi="仿宋_GB2312" w:eastAsia="仿宋_GB2312" w:cs="仿宋_GB2312"/>
          <w:sz w:val="32"/>
          <w:szCs w:val="32"/>
          <w:lang w:val="en-US" w:eastAsia="zh-CN"/>
        </w:rPr>
        <w:t>仅</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其他营利性服务业、批发业等重点行业质效有待提升，增速年度波动较大</w:t>
      </w:r>
      <w:r>
        <w:rPr>
          <w:rFonts w:hint="eastAsia" w:ascii="仿宋_GB2312" w:hAnsi="仿宋_GB2312" w:eastAsia="仿宋_GB2312" w:cs="仿宋_GB2312"/>
          <w:sz w:val="32"/>
          <w:szCs w:val="32"/>
        </w:rPr>
        <w:t>，科创、文旅、健康等领域产业动能还未得到充分释放。</w:t>
      </w:r>
      <w:r>
        <w:rPr>
          <w:rFonts w:hint="eastAsia" w:ascii="仿宋_GB2312" w:hAnsi="仿宋_GB2312" w:eastAsia="仿宋_GB2312" w:cs="仿宋_GB2312"/>
          <w:b/>
          <w:bCs/>
          <w:sz w:val="32"/>
          <w:szCs w:val="32"/>
          <w:lang w:val="en-US" w:eastAsia="zh-CN"/>
        </w:rPr>
        <w:t>二是新兴产业支撑带动作用有待提升，</w:t>
      </w:r>
      <w:r>
        <w:rPr>
          <w:rFonts w:hint="eastAsia" w:ascii="仿宋_GB2312" w:hAnsi="仿宋_GB2312" w:eastAsia="仿宋_GB2312" w:cs="仿宋_GB2312"/>
          <w:b w:val="0"/>
          <w:bCs w:val="0"/>
          <w:sz w:val="32"/>
          <w:szCs w:val="32"/>
          <w:lang w:val="en-US" w:eastAsia="zh-CN"/>
        </w:rPr>
        <w:t>高新技术产业、战略性新兴产业、</w:t>
      </w:r>
      <w:r>
        <w:rPr>
          <w:rFonts w:hint="eastAsia" w:ascii="仿宋_GB2312" w:hAnsi="仿宋_GB2312" w:eastAsia="仿宋_GB2312" w:cs="仿宋_GB2312"/>
          <w:sz w:val="32"/>
          <w:szCs w:val="32"/>
        </w:rPr>
        <w:t>数字经济</w:t>
      </w:r>
      <w:r>
        <w:rPr>
          <w:rFonts w:hint="eastAsia" w:ascii="仿宋_GB2312" w:hAnsi="仿宋_GB2312" w:eastAsia="仿宋_GB2312" w:cs="仿宋_GB2312"/>
          <w:b w:val="0"/>
          <w:bCs w:val="0"/>
          <w:sz w:val="32"/>
          <w:szCs w:val="32"/>
          <w:lang w:val="en-US" w:eastAsia="zh-CN"/>
        </w:rPr>
        <w:t>快速发展但规模体量相对较小，</w:t>
      </w:r>
      <w:r>
        <w:rPr>
          <w:rFonts w:hint="eastAsia" w:ascii="仿宋_GB2312" w:hAnsi="仿宋_GB2312" w:eastAsia="仿宋_GB2312" w:cs="仿宋_GB2312"/>
          <w:sz w:val="32"/>
          <w:szCs w:val="32"/>
          <w:lang w:eastAsia="zh-CN"/>
        </w:rPr>
        <w:t>新能源、新材料、生物医药等未来产业等新赛道需要加快布局。</w:t>
      </w:r>
      <w:r>
        <w:rPr>
          <w:rFonts w:hint="eastAsia" w:ascii="仿宋_GB2312" w:hAnsi="仿宋_GB2312" w:eastAsia="仿宋_GB2312" w:cs="仿宋_GB2312"/>
          <w:b/>
          <w:bCs/>
          <w:sz w:val="32"/>
          <w:szCs w:val="32"/>
          <w:lang w:val="en-US" w:eastAsia="zh-CN"/>
        </w:rPr>
        <w:t>三是市场主体规模仍需壮大，</w:t>
      </w:r>
      <w:r>
        <w:rPr>
          <w:rFonts w:hint="eastAsia" w:ascii="仿宋_GB2312" w:hAnsi="仿宋_GB2312" w:eastAsia="仿宋_GB2312" w:cs="仿宋_GB2312"/>
          <w:b w:val="0"/>
          <w:bCs w:val="0"/>
          <w:sz w:val="32"/>
          <w:szCs w:val="32"/>
          <w:lang w:val="en-US" w:eastAsia="zh-CN"/>
        </w:rPr>
        <w:t>从“五经普”核实后的市场主体来看，实体经济代表的工业企业家数增长乏力，规模以上企业家数扩大不及GDP增长；具有节点控制力和自主品牌的领军大企业、强带动型大企业和平台型大企业不多，上市企业数量居全大市末位，工业总产值超10亿的企业目前仅有8家。</w:t>
      </w:r>
    </w:p>
    <w:p>
      <w:pPr>
        <w:spacing w:line="58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 人口结构演进带来新挑战。</w:t>
      </w:r>
      <w:r>
        <w:rPr>
          <w:rFonts w:hint="eastAsia" w:ascii="仿宋_GB2312" w:hAnsi="仿宋_GB2312" w:eastAsia="仿宋_GB2312" w:cs="仿宋_GB2312"/>
          <w:b w:val="0"/>
          <w:bCs w:val="0"/>
          <w:sz w:val="32"/>
          <w:szCs w:val="32"/>
          <w:lang w:val="en-US" w:eastAsia="zh-CN"/>
        </w:rPr>
        <w:t>当前，人口发展在质量不断提升的同时，人口结构老龄化、少子化等特征日趋明显，为高质量发展带来较大压力。</w:t>
      </w:r>
      <w:r>
        <w:rPr>
          <w:rFonts w:hint="eastAsia" w:ascii="仿宋_GB2312" w:hAnsi="仿宋_GB2312" w:eastAsia="仿宋_GB2312" w:cs="仿宋_GB2312"/>
          <w:b/>
          <w:bCs/>
          <w:sz w:val="32"/>
          <w:szCs w:val="32"/>
          <w:lang w:val="en-US" w:eastAsia="zh-CN"/>
        </w:rPr>
        <w:t>一是常住人口增量水平低于全市，</w:t>
      </w:r>
      <w:r>
        <w:rPr>
          <w:rFonts w:hint="eastAsia" w:ascii="仿宋_GB2312" w:hAnsi="仿宋_GB2312" w:eastAsia="仿宋_GB2312" w:cs="仿宋_GB2312"/>
          <w:sz w:val="32"/>
          <w:szCs w:val="32"/>
          <w:lang w:val="en-US" w:eastAsia="zh-CN"/>
        </w:rPr>
        <w:t>全区</w:t>
      </w:r>
      <w:r>
        <w:rPr>
          <w:rFonts w:hint="eastAsia" w:ascii="仿宋_GB2312" w:hAnsi="仿宋_GB2312" w:eastAsia="仿宋_GB2312" w:cs="仿宋_GB2312"/>
          <w:b w:val="0"/>
          <w:bCs w:val="0"/>
          <w:sz w:val="32"/>
          <w:szCs w:val="32"/>
          <w:lang w:val="en-US" w:eastAsia="zh-CN"/>
        </w:rPr>
        <w:t>常住人口总量占宁波市比重从2020年的6.14%下降到2022年的6.09%，</w:t>
      </w:r>
      <w:r>
        <w:rPr>
          <w:rFonts w:hint="eastAsia" w:ascii="仿宋_GB2312" w:hAnsi="仿宋_GB2312" w:eastAsia="仿宋_GB2312" w:cs="仿宋_GB2312"/>
          <w:sz w:val="32"/>
          <w:szCs w:val="32"/>
          <w:lang w:val="en-US" w:eastAsia="zh-CN"/>
        </w:rPr>
        <w:t>常住人口城镇化率仅为61.2%，居十个区（县、市）末位，与全市78.9%的平均水平差距较大。</w:t>
      </w:r>
      <w:r>
        <w:rPr>
          <w:rFonts w:hint="eastAsia" w:ascii="仿宋_GB2312" w:hAnsi="仿宋_GB2312" w:eastAsia="仿宋_GB2312" w:cs="仿宋_GB2312"/>
          <w:sz w:val="32"/>
          <w:szCs w:val="32"/>
        </w:rPr>
        <w:t>城市新城和工业园区周边的人气、商气和烟火气不足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二是“一老一小”问题日益凸显，</w:t>
      </w:r>
      <w:r>
        <w:rPr>
          <w:rFonts w:hint="eastAsia" w:ascii="仿宋_GB2312" w:hAnsi="仿宋_GB2312" w:eastAsia="仿宋_GB2312" w:cs="仿宋_GB2312"/>
          <w:sz w:val="32"/>
          <w:szCs w:val="32"/>
          <w:lang w:val="en-US" w:eastAsia="zh-CN"/>
        </w:rPr>
        <w:t>截至2022年末，</w:t>
      </w:r>
      <w:r>
        <w:rPr>
          <w:rFonts w:hint="eastAsia" w:ascii="仿宋_GB2312" w:hAnsi="仿宋_GB2312" w:eastAsia="仿宋_GB2312" w:cs="仿宋_GB2312"/>
          <w:sz w:val="32"/>
          <w:szCs w:val="32"/>
        </w:rPr>
        <w:t>60岁及以上老龄人口占比</w:t>
      </w:r>
      <w:r>
        <w:rPr>
          <w:rFonts w:hint="eastAsia" w:ascii="仿宋_GB2312" w:hAnsi="仿宋_GB2312" w:eastAsia="仿宋_GB2312" w:cs="仿宋_GB2312"/>
          <w:sz w:val="32"/>
          <w:szCs w:val="32"/>
          <w:lang w:val="en-US" w:eastAsia="zh-CN"/>
        </w:rPr>
        <w:t>达到</w:t>
      </w:r>
      <w:r>
        <w:rPr>
          <w:rFonts w:hint="eastAsia" w:ascii="仿宋_GB2312" w:hAnsi="仿宋_GB2312" w:eastAsia="仿宋_GB2312" w:cs="仿宋_GB2312"/>
          <w:sz w:val="32"/>
          <w:szCs w:val="32"/>
        </w:rPr>
        <w:t>30.45%，老龄化程度位居全市前列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出生人口持续下滑，</w:t>
      </w:r>
      <w:r>
        <w:rPr>
          <w:rFonts w:hint="eastAsia" w:ascii="仿宋_GB2312" w:hAnsi="仿宋_GB2312" w:eastAsia="仿宋_GB2312" w:cs="仿宋_GB2312"/>
          <w:sz w:val="32"/>
          <w:szCs w:val="32"/>
        </w:rPr>
        <w:t>2022年末全区户籍人口</w:t>
      </w:r>
      <w:r>
        <w:rPr>
          <w:rFonts w:hint="eastAsia" w:ascii="仿宋_GB2312" w:hAnsi="仿宋_GB2312" w:eastAsia="仿宋_GB2312" w:cs="仿宋_GB2312"/>
          <w:sz w:val="32"/>
          <w:szCs w:val="32"/>
          <w:lang w:val="en-US" w:eastAsia="zh-CN"/>
        </w:rPr>
        <w:t>较“十三五”期末减少2827人，人口</w:t>
      </w:r>
      <w:r>
        <w:rPr>
          <w:rFonts w:hint="eastAsia" w:ascii="仿宋_GB2312" w:hAnsi="仿宋_GB2312" w:eastAsia="仿宋_GB2312" w:cs="仿宋_GB2312"/>
          <w:sz w:val="32"/>
          <w:szCs w:val="32"/>
        </w:rPr>
        <w:t>抚养比</w:t>
      </w:r>
      <w:r>
        <w:rPr>
          <w:rFonts w:hint="eastAsia" w:ascii="仿宋_GB2312" w:hAnsi="仿宋_GB2312" w:eastAsia="仿宋_GB2312" w:cs="仿宋_GB2312"/>
          <w:sz w:val="32"/>
          <w:szCs w:val="32"/>
          <w:lang w:val="en-US" w:eastAsia="zh-CN"/>
        </w:rPr>
        <w:t>持续增大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对养老、托育等公共服务提出了更高要求。</w:t>
      </w:r>
      <w:r>
        <w:rPr>
          <w:rFonts w:hint="eastAsia" w:ascii="仿宋_GB2312" w:hAnsi="仿宋_GB2312" w:eastAsia="仿宋_GB2312" w:cs="仿宋_GB2312"/>
          <w:b/>
          <w:bCs/>
          <w:sz w:val="32"/>
          <w:szCs w:val="32"/>
          <w:lang w:val="en-US" w:eastAsia="zh-CN"/>
        </w:rPr>
        <w:t>三是留才引才仍需发力。</w:t>
      </w:r>
      <w:r>
        <w:rPr>
          <w:rFonts w:hint="eastAsia" w:ascii="仿宋_GB2312" w:hAnsi="仿宋_GB2312" w:eastAsia="仿宋_GB2312" w:cs="仿宋_GB2312"/>
          <w:b w:val="0"/>
          <w:bCs w:val="0"/>
          <w:sz w:val="32"/>
          <w:szCs w:val="32"/>
          <w:lang w:val="en-US" w:eastAsia="zh-CN"/>
        </w:rPr>
        <w:t>“十四五”以来，奉化人才资源总量占全市6.34%，排名各区（县、市）第9位，高层次人才数量、每万人口拥有人才资源数、每万从业人员拥有人才资源数等指标与省市先进地区相比仍有差距，本土优质人才流失现象较为明显。</w:t>
      </w:r>
    </w:p>
    <w:p>
      <w:pPr>
        <w:spacing w:line="580" w:lineRule="exact"/>
        <w:ind w:firstLine="640" w:firstLineChars="200"/>
        <w:outlineLvl w:val="9"/>
        <w:rPr>
          <w:rFonts w:hint="eastAsia" w:ascii="楷体_GB2312" w:hAnsi="楷体_GB2312" w:eastAsia="楷体_GB2312" w:cs="楷体_GB2312"/>
          <w:sz w:val="32"/>
          <w:szCs w:val="32"/>
        </w:rPr>
      </w:pPr>
      <w:bookmarkStart w:id="50" w:name="_Toc15726"/>
      <w:bookmarkStart w:id="51" w:name="_Toc15073"/>
      <w:bookmarkStart w:id="52" w:name="_Toc31271"/>
      <w:r>
        <w:rPr>
          <w:rFonts w:hint="eastAsia" w:ascii="楷体_GB2312" w:hAnsi="楷体_GB2312" w:eastAsia="楷体_GB2312" w:cs="楷体_GB2312"/>
          <w:sz w:val="32"/>
          <w:szCs w:val="32"/>
        </w:rPr>
        <w:t>（三）“十四五”下半程面临形势</w:t>
      </w:r>
      <w:bookmarkEnd w:id="50"/>
      <w:bookmarkEnd w:id="51"/>
      <w:bookmarkEnd w:id="52"/>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进入“十四五”时期，国内外宏观经济形势发生了重大变化，与《纲要》编制时的宏观经济形势反差很大，</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《纲要》实施带来了不利影响。进入“十四五”下半期，机遇与挑战并存，动力与压力同在。</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从全球形势看</w:t>
      </w:r>
      <w:r>
        <w:rPr>
          <w:rFonts w:hint="eastAsia" w:ascii="仿宋_GB2312" w:hAnsi="仿宋_GB2312" w:eastAsia="仿宋_GB2312" w:cs="仿宋_GB2312"/>
          <w:sz w:val="32"/>
          <w:szCs w:val="32"/>
        </w:rPr>
        <w:t>，百年未有之大变局加速演进，全球新冠疫情影响深远，地缘冲突加剧、通胀危机、能源危机叠加，外需增长显著放缓，全球经济步入新一轮紧缩周期。美国对我国实施单边主义和长臂管辖愈演愈烈，产业链供应链“去中国化”带来的“脱钩断链”风险持续攀升，对外贸易及产能转移风险不容忽视。新一轮科技革命和产业变革深入发展，大数据、云计算、人工智能技术的进步，在推动生产生活方式发生深刻变革的同时，也将催生大量新领域新赛道，蕴含着巨大的发展新机遇。</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从国内宏观形势看，</w:t>
      </w:r>
      <w:r>
        <w:rPr>
          <w:rFonts w:hint="eastAsia" w:ascii="仿宋_GB2312" w:hAnsi="仿宋_GB2312" w:eastAsia="仿宋_GB2312" w:cs="仿宋_GB2312"/>
          <w:sz w:val="32"/>
          <w:szCs w:val="32"/>
        </w:rPr>
        <w:t>经历了俄乌冲突、通胀飙升、联储加息等复杂多变的外部局势，又面临着疫情反复、地产暴雷、经济下行等内部风险，中国经济在艰难的内外部环境迎来复苏，但经济恢复基础尚不牢固，“需求收缩、供给冲击、预期转弱”三重压力依然存在，产业链长、带动力强的大宗消费潜力有待进一步释放，企业效益恢复面临较多困难，民间投资亟待有效提升。但随着后疫情时代的到来，市场活力逐步释放，经济企稳回升，资本外流显著放缓，居住消费逐步改善，市场预期加快好转。</w:t>
      </w:r>
    </w:p>
    <w:p>
      <w:pPr>
        <w:spacing w:line="580" w:lineRule="exact"/>
        <w:ind w:firstLine="643"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从奉化自身来看，</w:t>
      </w:r>
      <w:r>
        <w:rPr>
          <w:rFonts w:hint="eastAsia" w:ascii="仿宋_GB2312" w:hAnsi="仿宋_GB2312" w:eastAsia="仿宋_GB2312" w:cs="仿宋_GB2312"/>
          <w:sz w:val="32"/>
          <w:szCs w:val="32"/>
        </w:rPr>
        <w:t>“十三五”期间，奉化区紧抓撤市设区契机，有力推动了县域经济向城市经济转型、县域管理向城市治理转型。进入到“十四五”，无论是宏观环境还是要素支撑，奉化区高质量发展都将面临更加艰巨的挑战，而随着同城发展的不断深化，人民群众对过上更有质量、更加美好的生活充满了新的期待和向往。未来一段时期，要紧紧把握长三角一体化、长江经济带等国家战略的稳步实施，浙江在共同富裕、数字变革等领域的探索深化，以及宁波新一轮空间再造、产业重塑加速推进等多重叠加的重大机遇，在危机中育新机于变局中开新局，加快“二轮攀高”，推动新一轮发展成果更多更好地惠及全民。</w:t>
      </w:r>
      <w:bookmarkEnd w:id="33"/>
      <w:bookmarkEnd w:id="34"/>
      <w:bookmarkEnd w:id="35"/>
      <w:bookmarkEnd w:id="36"/>
      <w:bookmarkEnd w:id="37"/>
      <w:bookmarkEnd w:id="38"/>
      <w:bookmarkEnd w:id="39"/>
      <w:bookmarkEnd w:id="40"/>
      <w:bookmarkEnd w:id="41"/>
      <w:bookmarkStart w:id="53" w:name="_Toc32197"/>
      <w:bookmarkStart w:id="54" w:name="_Toc21022"/>
      <w:bookmarkStart w:id="55" w:name="_Toc145087782"/>
      <w:bookmarkStart w:id="56" w:name="_Toc14260"/>
      <w:bookmarkStart w:id="57" w:name="_Toc6419"/>
      <w:bookmarkStart w:id="58" w:name="_Toc23074"/>
    </w:p>
    <w:p>
      <w:pPr>
        <w:spacing w:line="580" w:lineRule="exact"/>
        <w:ind w:firstLine="640" w:firstLineChars="200"/>
        <w:outlineLvl w:val="9"/>
        <w:rPr>
          <w:rFonts w:hint="eastAsia" w:ascii="黑体" w:hAnsi="黑体" w:eastAsia="黑体" w:cs="黑体"/>
          <w:sz w:val="32"/>
          <w:szCs w:val="32"/>
        </w:rPr>
      </w:pPr>
      <w:bookmarkStart w:id="59" w:name="_Toc7251"/>
      <w:r>
        <w:rPr>
          <w:rFonts w:hint="eastAsia" w:ascii="黑体" w:hAnsi="黑体" w:eastAsia="黑体" w:cs="黑体"/>
          <w:sz w:val="32"/>
          <w:szCs w:val="32"/>
        </w:rPr>
        <w:t>四、“十四五”中后期《纲要》实施的对策建议</w:t>
      </w:r>
      <w:bookmarkEnd w:id="53"/>
      <w:bookmarkEnd w:id="54"/>
      <w:bookmarkEnd w:id="55"/>
      <w:bookmarkEnd w:id="56"/>
      <w:bookmarkEnd w:id="57"/>
      <w:bookmarkEnd w:id="58"/>
      <w:bookmarkEnd w:id="59"/>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后半期推动《纲要》实施，就是要抢抓全面贯彻落实党的二十大精神开局之年的窗口期、机遇期和攻坚期，坚决扛起新发展阶段高质量发展的历史使命，深入实施“八八战略”，强力推进创新深化改革攻坚开放提升工作，围绕宁波高水平谱写新时代港产城文深度融合新篇章，统筹衔接《纲要》确定的战略目标任务和新一届区委区政府提出的系列重大决策，围绕“跨越发展、二轮攀高”战略，倍速推进“五大变革”，加快实现“五大跃迁”，高标建设“六个之区”，加速动能大变革，高水平打造共同富裕特色区，奋力展现现代化滨海大都市健康美丽新城区美好图景。</w:t>
      </w:r>
      <w:bookmarkStart w:id="60" w:name="_Toc28454"/>
    </w:p>
    <w:bookmarkEnd w:id="60"/>
    <w:p>
      <w:pPr>
        <w:spacing w:line="580" w:lineRule="exact"/>
        <w:ind w:firstLine="640" w:firstLineChars="200"/>
        <w:outlineLvl w:val="9"/>
        <w:rPr>
          <w:rFonts w:hint="eastAsia" w:ascii="楷体_GB2312" w:hAnsi="楷体_GB2312" w:eastAsia="楷体_GB2312" w:cs="楷体_GB2312"/>
          <w:sz w:val="32"/>
          <w:szCs w:val="32"/>
        </w:rPr>
      </w:pPr>
      <w:bookmarkStart w:id="61" w:name="_Toc674"/>
      <w:bookmarkStart w:id="62" w:name="_Toc22011"/>
      <w:bookmarkStart w:id="63" w:name="_Toc3016"/>
      <w:r>
        <w:rPr>
          <w:rFonts w:hint="eastAsia" w:ascii="楷体_GB2312" w:hAnsi="楷体_GB2312" w:eastAsia="楷体_GB2312" w:cs="楷体_GB2312"/>
          <w:sz w:val="32"/>
          <w:szCs w:val="32"/>
        </w:rPr>
        <w:t>（一）强力推进创新深化，加快创新型城市建设</w:t>
      </w:r>
      <w:bookmarkEnd w:id="61"/>
      <w:bookmarkEnd w:id="62"/>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加大制度设计和政策创新力度，实施创新五大行动，有效聚集创新要素、释放创新活力，构建更加完善、更有活力的创业创新生态系统。</w:t>
      </w:r>
      <w:r>
        <w:rPr>
          <w:rFonts w:hint="eastAsia" w:ascii="仿宋_GB2312" w:hAnsi="仿宋_GB2312" w:eastAsia="仿宋_GB2312" w:cs="仿宋_GB2312"/>
          <w:b/>
          <w:bCs/>
          <w:sz w:val="32"/>
          <w:szCs w:val="32"/>
        </w:rPr>
        <w:t>深化关键技术“揭榜挂帅”机制，</w:t>
      </w:r>
      <w:r>
        <w:rPr>
          <w:rFonts w:hint="eastAsia" w:ascii="仿宋_GB2312" w:hAnsi="仿宋_GB2312" w:eastAsia="仿宋_GB2312" w:cs="仿宋_GB2312"/>
          <w:sz w:val="32"/>
          <w:szCs w:val="32"/>
        </w:rPr>
        <w:t>对标落实省“415X”先进制造业集群建设要求，精准编制标志性产业链关键核心技术攻关动态清单，完善“企业出题、政府立题、联合破题”科研攻关机制，以揭榜挂帅制、赛马制或定向委托等方式，每年征集一批技术难题，实施一批技术难题“揭榜挂帅”攻关项目，攻克一批制约产业高质量发展的关键核心技术难题、共性技术难题和“卡脖子”技术。支持和鼓励符合条件企业和技术团队，积极申报实施国家、省市重大科技专项及重大场景应用攻关项目，推进新技术与先进制造、生产服务等领域深度融合。</w:t>
      </w:r>
      <w:r>
        <w:rPr>
          <w:rFonts w:hint="eastAsia" w:ascii="仿宋_GB2312" w:hAnsi="仿宋_GB2312" w:eastAsia="仿宋_GB2312" w:cs="仿宋_GB2312"/>
          <w:b/>
          <w:bCs/>
          <w:sz w:val="32"/>
          <w:szCs w:val="32"/>
        </w:rPr>
        <w:t>加大创新主体培育力度，</w:t>
      </w:r>
      <w:r>
        <w:rPr>
          <w:rFonts w:hint="eastAsia" w:ascii="仿宋_GB2312" w:hAnsi="仿宋_GB2312" w:eastAsia="仿宋_GB2312" w:cs="仿宋_GB2312"/>
          <w:sz w:val="32"/>
          <w:szCs w:val="32"/>
        </w:rPr>
        <w:t>加大对省科技型中小企业、区“小而美”苗子企业、高新技术企业、科技小巨人、创新型领军企业的梯度培育力度，对符合区产业导向、市场前景广阔的企业要加大培育扶持力度，给予更大政策支持。充分挖掘科技型企业苗子，加大高新技术企业培育力度，建立“一对一”服务机制，鼓励企业对照高新技术企业认定条件，加大研发投入、新产品开发和知识产权保护，加速推进科技成果转化和产业化。</w:t>
      </w:r>
      <w:r>
        <w:rPr>
          <w:rFonts w:hint="eastAsia" w:ascii="仿宋_GB2312" w:hAnsi="仿宋_GB2312" w:eastAsia="仿宋_GB2312" w:cs="仿宋_GB2312"/>
          <w:b/>
          <w:bCs/>
          <w:sz w:val="32"/>
          <w:szCs w:val="32"/>
        </w:rPr>
        <w:t>提升平台创新能力和水平</w:t>
      </w:r>
      <w:r>
        <w:rPr>
          <w:rFonts w:hint="eastAsia" w:ascii="仿宋_GB2312" w:hAnsi="仿宋_GB2312" w:eastAsia="仿宋_GB2312" w:cs="仿宋_GB2312"/>
          <w:sz w:val="32"/>
          <w:szCs w:val="32"/>
        </w:rPr>
        <w:t>，围绕“3号青创大走廊”建设总体布局，高标准推进“茗山智谷”“茗山智造园”等创新综合体、中交壹里科创云廊等建设，力促凤麓新材料加速器、启迪智能装备（气动）科技园、58众创产业园、怡星电子信息科技园等平台提能垒峰。在现有省级开发区基础上，围绕关键基础件、电子信息、新材料等核心产业，高水平创建省级高新技术产业园区。依托科技园区、工业集聚区、小微产业园等创新基础较好的园区，积极争创宁波创新街区、创新走廊、创新带等县域科技创新高地。</w:t>
      </w:r>
      <w:r>
        <w:rPr>
          <w:rFonts w:hint="eastAsia" w:ascii="仿宋_GB2312" w:hAnsi="仿宋_GB2312" w:eastAsia="仿宋_GB2312" w:cs="仿宋_GB2312"/>
          <w:b/>
          <w:bCs/>
          <w:sz w:val="32"/>
          <w:szCs w:val="32"/>
        </w:rPr>
        <w:t>推动创新人才集聚赋能</w:t>
      </w:r>
      <w:r>
        <w:rPr>
          <w:rFonts w:hint="eastAsia" w:ascii="仿宋_GB2312" w:hAnsi="仿宋_GB2312" w:eastAsia="仿宋_GB2312" w:cs="仿宋_GB2312"/>
          <w:sz w:val="32"/>
          <w:szCs w:val="32"/>
        </w:rPr>
        <w:t>，深入实施高层次人才招引和领军型创业项目招引两大攻坚行动，全面优化升级“凤麓英才”项目，实施人才举荐制、认定制，在新材料、工业互联网、智能制造领域，面向全球引进一批具有深厚科学素养、能够协调各方力量、整合各方资源的战略科学家和科技领军人才。深入推进“青年创业之城”建设，大力支持优秀青年人才创新创业。深化创二代“青蓝接续行动”“新生代”企业家提升行动，锻造一支适应新一轮科技革命和产业变革的新时代青年企业家队伍。</w:t>
      </w:r>
    </w:p>
    <w:p>
      <w:pPr>
        <w:spacing w:line="580" w:lineRule="exact"/>
        <w:ind w:firstLine="640" w:firstLineChars="200"/>
        <w:outlineLvl w:val="9"/>
        <w:rPr>
          <w:rFonts w:hint="eastAsia" w:ascii="楷体_GB2312" w:hAnsi="楷体_GB2312" w:eastAsia="楷体_GB2312" w:cs="楷体_GB2312"/>
          <w:sz w:val="32"/>
          <w:szCs w:val="32"/>
        </w:rPr>
      </w:pPr>
      <w:bookmarkStart w:id="64" w:name="_Toc22345"/>
      <w:bookmarkStart w:id="65" w:name="_Toc26923"/>
      <w:r>
        <w:rPr>
          <w:rFonts w:hint="eastAsia" w:ascii="楷体_GB2312" w:hAnsi="楷体_GB2312" w:eastAsia="楷体_GB2312" w:cs="楷体_GB2312"/>
          <w:sz w:val="32"/>
          <w:szCs w:val="32"/>
        </w:rPr>
        <w:t>（二）筑牢产业发展根基，培育发展新动能</w:t>
      </w:r>
      <w:bookmarkEnd w:id="63"/>
      <w:bookmarkEnd w:id="64"/>
      <w:bookmarkEnd w:id="65"/>
      <w:bookmarkStart w:id="66" w:name="_Toc11786"/>
    </w:p>
    <w:p>
      <w:pPr>
        <w:spacing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主动参与宁波“361”万千亿级产业集群建设，加快传统产业提质，培育生命健康、新材料、元宇宙等未来产业，打造具有奉化特色优势的现代产业体系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提升产业竞争力和抗风险能力。</w:t>
      </w:r>
      <w:r>
        <w:rPr>
          <w:rFonts w:hint="eastAsia" w:ascii="仿宋_GB2312" w:hAnsi="仿宋_GB2312" w:eastAsia="仿宋_GB2312" w:cs="仿宋_GB2312"/>
          <w:b/>
          <w:bCs/>
          <w:sz w:val="32"/>
          <w:szCs w:val="32"/>
        </w:rPr>
        <w:t>推动主导产业升级提质，</w:t>
      </w:r>
      <w:r>
        <w:rPr>
          <w:rFonts w:hint="eastAsia" w:ascii="仿宋_GB2312" w:hAnsi="仿宋_GB2312" w:eastAsia="仿宋_GB2312" w:cs="仿宋_GB2312"/>
          <w:sz w:val="32"/>
          <w:szCs w:val="32"/>
        </w:rPr>
        <w:t>实施“产业强链”计划，支持制造业主导产业精深加工、智能制造、整体成套，加速迈向价值链中高端，关键基础件、汽车零部件产业产值分别突破160亿元和115亿元。体系化培育“凤凰行动”“大优强”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“小而美”企业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专精特新“小巨人”企业和单项冠军企业</w:t>
      </w:r>
      <w:r>
        <w:rPr>
          <w:rFonts w:hint="eastAsia" w:ascii="仿宋_GB2312" w:hAnsi="仿宋_GB2312" w:eastAsia="仿宋_GB2312" w:cs="仿宋_GB2312"/>
          <w:sz w:val="32"/>
          <w:szCs w:val="32"/>
        </w:rPr>
        <w:t>梯队，全力支持比亚迪、罗蒙、亚德客、麦博韦尔等一批龙头企业冲刺百亿级、五十亿级。启动全域工业空间治理，持续优化“2+7+N”集聚区布局，片区化推进白杜、费家塘头等10个工业区块专业化改造。</w:t>
      </w:r>
      <w:r>
        <w:rPr>
          <w:rFonts w:hint="eastAsia" w:ascii="仿宋_GB2312" w:hAnsi="仿宋_GB2312" w:eastAsia="仿宋_GB2312" w:cs="仿宋_GB2312"/>
          <w:b/>
          <w:bCs/>
          <w:sz w:val="32"/>
          <w:szCs w:val="32"/>
        </w:rPr>
        <w:t>培育壮大数字经济产业集群，</w:t>
      </w:r>
      <w:r>
        <w:rPr>
          <w:rFonts w:hint="eastAsia" w:ascii="仿宋_GB2312" w:hAnsi="仿宋_GB2312" w:eastAsia="仿宋_GB2312" w:cs="仿宋_GB2312"/>
          <w:sz w:val="32"/>
          <w:szCs w:val="32"/>
        </w:rPr>
        <w:t>推动落实数字经济提质创新“一号发展工程”，率先在气动元件、时尚服装等细分行业开展数字化改造；加强数字核心产业链上下游企业精准招引和产业链生态资源整合，依托北部产业转型示范区、茗山智谷、经济开发区产业平台，推动智能终端、电子信息材料、集成电路等核心制造产业做大做强，推动细分行业产业链协同发展，着力形成“材料—关键零部件—整机—系统集成”数字经济核心制造业生态。沿“3号青创大走廊”高能发展轴，推动生命健康、数字贸易、数字内容和信创产业等核心服务业突破性发展，制定出台生物医药产业专项扶持政策，布局元宇宙、区块链、空天信息等未来产业，谋划一批数字经济“弯道超车”助推器。</w:t>
      </w:r>
      <w:r>
        <w:rPr>
          <w:rFonts w:hint="eastAsia" w:ascii="仿宋_GB2312" w:hAnsi="仿宋_GB2312" w:eastAsia="仿宋_GB2312" w:cs="仿宋_GB2312"/>
          <w:b/>
          <w:bCs/>
          <w:sz w:val="32"/>
          <w:szCs w:val="32"/>
        </w:rPr>
        <w:t>全力推进服务业跨越发展，</w:t>
      </w:r>
      <w:r>
        <w:rPr>
          <w:rFonts w:hint="eastAsia" w:ascii="仿宋_GB2312" w:hAnsi="仿宋_GB2312" w:eastAsia="仿宋_GB2312" w:cs="仿宋_GB2312"/>
          <w:sz w:val="32"/>
          <w:szCs w:val="32"/>
        </w:rPr>
        <w:t>开展都市经济专项提能行动，加快推动都市服务业集聚发展，在宁南新城等区域打造高端城市商圈，在南山路等特色街区培育一批区域性科研楼、金融楼、文创楼等品质楼宇。引育发展医疗检测、医药研发等健康服务业，加快建设生命科学城，着力打造大健康产业体系。高起点建设滨海国际化旅游消费中心，培育夜间消费、假日消费、社区消费等新模式新热点，推动消费券扩面提质工作，充分发挥消费券对现代服务业的促进和带动作用，进一步推动消费提档升级</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提升生态高效农业发展水平，</w:t>
      </w:r>
      <w:r>
        <w:rPr>
          <w:rFonts w:hint="eastAsia" w:ascii="仿宋_GB2312" w:hAnsi="仿宋_GB2312" w:eastAsia="仿宋_GB2312" w:cs="仿宋_GB2312"/>
          <w:color w:val="000000"/>
          <w:sz w:val="32"/>
          <w:szCs w:val="32"/>
        </w:rPr>
        <w:t>坚决守住耕地和永久基本农田“红线”，逐步推进永久基本农田全部建成高标准农田。围绕“2+5”主导特色产业，加快农业强链补链，扎实推进“万亩方”“千亩方”和长三角互联网水产商贸中心建设，积极创建区级农业公共品牌。大力发展设施农业，加快构建农林牧渔协调发展的大食物供给体系。</w:t>
      </w:r>
      <w:r>
        <w:rPr>
          <w:rFonts w:hint="eastAsia" w:ascii="仿宋_GB2312" w:hAnsi="仿宋_GB2312" w:eastAsia="仿宋_GB2312" w:cs="仿宋_GB2312"/>
          <w:sz w:val="32"/>
          <w:szCs w:val="32"/>
        </w:rPr>
        <w:t>争创省级农事服务中心、省级农业“机器换人”高质量发展综合先行示范区。</w:t>
      </w:r>
    </w:p>
    <w:bookmarkEnd w:id="66"/>
    <w:p>
      <w:pPr>
        <w:spacing w:line="580" w:lineRule="exact"/>
        <w:ind w:firstLine="640" w:firstLineChars="200"/>
        <w:outlineLvl w:val="9"/>
        <w:rPr>
          <w:rFonts w:hint="eastAsia" w:ascii="楷体_GB2312" w:hAnsi="楷体_GB2312" w:eastAsia="楷体_GB2312" w:cs="楷体_GB2312"/>
          <w:sz w:val="32"/>
          <w:szCs w:val="32"/>
        </w:rPr>
      </w:pPr>
      <w:bookmarkStart w:id="67" w:name="_Toc12003"/>
      <w:bookmarkStart w:id="68" w:name="_Toc25995"/>
      <w:bookmarkStart w:id="69" w:name="_Toc9406"/>
      <w:bookmarkStart w:id="70" w:name="_Toc3090"/>
      <w:r>
        <w:rPr>
          <w:rFonts w:hint="eastAsia" w:ascii="楷体_GB2312" w:hAnsi="楷体_GB2312" w:eastAsia="楷体_GB2312" w:cs="楷体_GB2312"/>
          <w:sz w:val="32"/>
          <w:szCs w:val="32"/>
        </w:rPr>
        <w:t>（三）</w:t>
      </w:r>
      <w:bookmarkEnd w:id="67"/>
      <w:r>
        <w:rPr>
          <w:rFonts w:hint="eastAsia" w:ascii="楷体_GB2312" w:hAnsi="楷体_GB2312" w:eastAsia="楷体_GB2312" w:cs="楷体_GB2312"/>
          <w:sz w:val="32"/>
          <w:szCs w:val="32"/>
        </w:rPr>
        <w:t>加强项目统筹攻坚，完善项目招引建设机制</w:t>
      </w:r>
      <w:bookmarkEnd w:id="68"/>
      <w:bookmarkEnd w:id="69"/>
      <w:bookmarkEnd w:id="70"/>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坚持项目大统筹，实体化运行大项目办，</w:t>
      </w:r>
      <w:r>
        <w:rPr>
          <w:rFonts w:hint="eastAsia" w:ascii="仿宋_GB2312" w:hAnsi="仿宋_GB2312" w:eastAsia="仿宋_GB2312" w:cs="仿宋_GB2312"/>
          <w:sz w:val="32"/>
          <w:szCs w:val="32"/>
          <w:lang w:val="en-US" w:eastAsia="zh-CN"/>
        </w:rPr>
        <w:t>迭代升级</w:t>
      </w:r>
      <w:r>
        <w:rPr>
          <w:rFonts w:hint="eastAsia" w:ascii="仿宋_GB2312" w:hAnsi="仿宋_GB2312" w:eastAsia="仿宋_GB2312" w:cs="仿宋_GB2312"/>
          <w:sz w:val="32"/>
          <w:szCs w:val="32"/>
        </w:rPr>
        <w:t>重大项目“124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”统筹推进机制，强化“</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大办”“拿地即开工”“赛马激励”闭环机制，用大项目撬动大产业、布局大基建、推动大发展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抓好有效投资主引擎，</w:t>
      </w:r>
      <w:r>
        <w:rPr>
          <w:rFonts w:hint="eastAsia" w:ascii="仿宋_GB2312" w:hAnsi="仿宋_GB2312" w:eastAsia="仿宋_GB2312" w:cs="仿宋_GB2312"/>
          <w:color w:val="000000"/>
          <w:sz w:val="32"/>
          <w:szCs w:val="32"/>
        </w:rPr>
        <w:t>积极承接推进省“十项重大工程”，聚焦“</w:t>
      </w:r>
      <w:r>
        <w:rPr>
          <w:rFonts w:hint="eastAsia" w:ascii="仿宋_GB2312" w:hAnsi="仿宋_GB2312" w:eastAsia="仿宋_GB2312" w:cs="仿宋_GB2312"/>
          <w:color w:val="000000"/>
          <w:sz w:val="32"/>
          <w:szCs w:val="32"/>
          <w:lang w:eastAsia="zh-CN"/>
        </w:rPr>
        <w:t>一大一高两新</w:t>
      </w:r>
      <w:r>
        <w:rPr>
          <w:rFonts w:hint="eastAsia" w:ascii="仿宋_GB2312" w:hAnsi="仿宋_GB2312" w:eastAsia="仿宋_GB2312" w:cs="仿宋_GB2312"/>
          <w:color w:val="000000"/>
          <w:sz w:val="32"/>
          <w:szCs w:val="32"/>
        </w:rPr>
        <w:t>”、科技创新、民生保障等领域，加大投资力度，力争水利、交通、高新技术产业、公共服务投资增长在10%以上。滚动充实“投产一批、开工一批、储备一批”产业投资项目库，开工建设中烟工程中心、隆源新能源、浙天万物互联等产业项目，制造业投资、技改投资均增长15%。激发各类民间主体投资活力，项目民间投资增长10%。</w:t>
      </w:r>
      <w:r>
        <w:rPr>
          <w:rFonts w:hint="eastAsia" w:ascii="仿宋_GB2312" w:hAnsi="仿宋_GB2312" w:eastAsia="仿宋_GB2312" w:cs="仿宋_GB2312"/>
          <w:b/>
          <w:bCs/>
          <w:color w:val="000000"/>
          <w:sz w:val="32"/>
          <w:szCs w:val="32"/>
        </w:rPr>
        <w:t>建好重大平台主阵地，</w:t>
      </w:r>
      <w:r>
        <w:rPr>
          <w:rFonts w:hint="eastAsia" w:ascii="仿宋_GB2312" w:hAnsi="仿宋_GB2312" w:eastAsia="仿宋_GB2312" w:cs="仿宋_GB2312"/>
          <w:color w:val="000000"/>
          <w:sz w:val="32"/>
          <w:szCs w:val="32"/>
        </w:rPr>
        <w:t>推动宁南新城深度融入宁波枢纽，加快建设永耀智能电力产业园一期、金茂商业综合体、滨江生态公园二期等，已投运港区110千伏输变电工程。高水平建设都市滨海会客厅，确保“欢乐时光”文旅街区开门营业，宁波湾文体中心、度假酒店主体结顶，天妃大道桥梁段开工建设。加速开发区和莼湖产城融合发展，投产安佳智慧电器、坤昇新能源、奥莱尔液压等一批重点项目，加快建设比亚迪新能源零部件工厂、滨海大道以南基础设施二期。</w:t>
      </w:r>
      <w:r>
        <w:rPr>
          <w:rFonts w:hint="eastAsia" w:ascii="仿宋_GB2312" w:hAnsi="仿宋_GB2312" w:eastAsia="仿宋_GB2312" w:cs="仿宋_GB2312"/>
          <w:b/>
          <w:bCs/>
          <w:color w:val="000000"/>
          <w:sz w:val="32"/>
          <w:szCs w:val="32"/>
        </w:rPr>
        <w:t>打好项目招引主动仗，</w:t>
      </w:r>
      <w:r>
        <w:rPr>
          <w:rFonts w:hint="eastAsia" w:ascii="仿宋_GB2312" w:hAnsi="仿宋_GB2312" w:eastAsia="仿宋_GB2312" w:cs="仿宋_GB2312"/>
          <w:color w:val="000000"/>
          <w:sz w:val="32"/>
          <w:szCs w:val="32"/>
        </w:rPr>
        <w:t>聚力招大选优招新引高，完善项目全生命周期服务体系，绘细重点产业链招商图谱，建立目标企业招商目录，深化招投联动、链式招引、以商引商。加强链主型、旗舰型、基地型重大产业项目招引工作，以龙头项目引来产业集聚，力争五十亿级以上标志性项目落地。</w:t>
      </w:r>
    </w:p>
    <w:p>
      <w:pPr>
        <w:spacing w:line="580" w:lineRule="exact"/>
        <w:ind w:firstLine="640" w:firstLineChars="200"/>
        <w:outlineLvl w:val="9"/>
        <w:rPr>
          <w:rFonts w:hint="eastAsia" w:ascii="楷体_GB2312" w:hAnsi="楷体_GB2312" w:eastAsia="楷体_GB2312" w:cs="楷体_GB2312"/>
          <w:sz w:val="32"/>
          <w:szCs w:val="32"/>
        </w:rPr>
      </w:pPr>
      <w:bookmarkStart w:id="71" w:name="_Toc15850"/>
      <w:bookmarkStart w:id="72" w:name="_Toc11086"/>
      <w:bookmarkStart w:id="73" w:name="_Toc589"/>
      <w:r>
        <w:rPr>
          <w:rFonts w:hint="eastAsia" w:ascii="楷体_GB2312" w:hAnsi="楷体_GB2312" w:eastAsia="楷体_GB2312" w:cs="楷体_GB2312"/>
          <w:sz w:val="32"/>
          <w:szCs w:val="32"/>
        </w:rPr>
        <w:t>（四）持续推动城乡建设，打造魅力山海名城</w:t>
      </w:r>
      <w:bookmarkEnd w:id="71"/>
      <w:bookmarkEnd w:id="72"/>
      <w:bookmarkEnd w:id="73"/>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坚持现代化标准、特色化理念，持续念好“山海经”，以全域国土空间综合整治为主抓，全面提优城市空间、功能和品质，奋力建设“三生融合、三宜一体”的全域美丽大花园。</w:t>
      </w:r>
      <w:r>
        <w:rPr>
          <w:rFonts w:hint="eastAsia" w:ascii="仿宋_GB2312" w:hAnsi="仿宋_GB2312" w:eastAsia="仿宋_GB2312" w:cs="仿宋_GB2312"/>
          <w:b/>
          <w:bCs/>
          <w:sz w:val="32"/>
          <w:szCs w:val="32"/>
        </w:rPr>
        <w:t>深化城市空间重塑，</w:t>
      </w:r>
      <w:r>
        <w:rPr>
          <w:rFonts w:hint="eastAsia" w:ascii="仿宋_GB2312" w:hAnsi="仿宋_GB2312" w:eastAsia="仿宋_GB2312" w:cs="仿宋_GB2312"/>
          <w:sz w:val="32"/>
          <w:szCs w:val="32"/>
        </w:rPr>
        <w:t>高质量编制完成区国土空间总体规划，加快编制镇级总体规划，塑造“一体两翼四廊”空间格局。深化全域国土空间综合整治，盘活存量建设用地1500亩以上，力促宁南田园城市综合整治示范片区再优形象、再增亮点，启动实施西坞—岳林省级跨乡镇全域土地综合整治试点，加快推进大堰整镇重整。</w:t>
      </w:r>
      <w:r>
        <w:rPr>
          <w:rFonts w:hint="eastAsia" w:ascii="仿宋_GB2312" w:hAnsi="仿宋_GB2312" w:eastAsia="仿宋_GB2312" w:cs="仿宋_GB2312"/>
          <w:b/>
          <w:bCs/>
          <w:sz w:val="32"/>
          <w:szCs w:val="32"/>
        </w:rPr>
        <w:t>全力构建内畅外联交通体系，</w:t>
      </w:r>
      <w:r>
        <w:rPr>
          <w:rFonts w:hint="eastAsia" w:ascii="仿宋_GB2312" w:hAnsi="仿宋_GB2312" w:eastAsia="仿宋_GB2312" w:cs="仿宋_GB2312"/>
          <w:sz w:val="32"/>
          <w:szCs w:val="32"/>
        </w:rPr>
        <w:t>以宁波枢纽建设为牵引</w:t>
      </w:r>
      <w:r>
        <w:rPr>
          <w:rFonts w:hint="eastAsia" w:ascii="仿宋_GB2312" w:hAnsi="仿宋_GB2312" w:eastAsia="仿宋_GB2312" w:cs="仿宋_GB2312"/>
          <w:sz w:val="32"/>
          <w:szCs w:val="32"/>
          <w:lang w:val="en-US" w:eastAsia="zh-CN"/>
        </w:rPr>
        <w:t>优化</w:t>
      </w:r>
      <w:r>
        <w:rPr>
          <w:rFonts w:hint="eastAsia" w:ascii="仿宋_GB2312" w:hAnsi="仿宋_GB2312" w:eastAsia="仿宋_GB2312" w:cs="仿宋_GB2312"/>
          <w:sz w:val="32"/>
          <w:szCs w:val="32"/>
        </w:rPr>
        <w:t>交通路网布局，提前做好甬台温高速改扩建、宁波大道、世纪大道南延等涉奉重大交通项目预留预设工作，</w:t>
      </w:r>
      <w:r>
        <w:rPr>
          <w:rFonts w:hint="eastAsia" w:ascii="仿宋_GB2312" w:hAnsi="仿宋_GB2312" w:eastAsia="仿宋_GB2312" w:cs="仿宋_GB2312"/>
          <w:sz w:val="32"/>
          <w:szCs w:val="32"/>
          <w:lang w:val="en-US" w:eastAsia="zh-CN"/>
        </w:rPr>
        <w:t>重点推进</w:t>
      </w:r>
      <w:r>
        <w:rPr>
          <w:rFonts w:hint="eastAsia" w:ascii="仿宋_GB2312" w:hAnsi="仿宋_GB2312" w:eastAsia="仿宋_GB2312" w:cs="仿宋_GB2312"/>
          <w:sz w:val="32"/>
          <w:szCs w:val="32"/>
        </w:rPr>
        <w:t>儒江路西延、前方路改造</w:t>
      </w:r>
      <w:r>
        <w:rPr>
          <w:rFonts w:hint="eastAsia" w:ascii="仿宋_GB2312" w:hAnsi="仿宋_GB2312" w:eastAsia="仿宋_GB2312" w:cs="仿宋_GB2312"/>
          <w:sz w:val="32"/>
          <w:szCs w:val="32"/>
          <w:lang w:val="en-US" w:eastAsia="zh-CN"/>
        </w:rPr>
        <w:t>等一批重点</w:t>
      </w:r>
      <w:r>
        <w:rPr>
          <w:rFonts w:hint="eastAsia" w:ascii="仿宋_GB2312" w:hAnsi="仿宋_GB2312" w:eastAsia="仿宋_GB2312" w:cs="仿宋_GB2312"/>
          <w:sz w:val="32"/>
          <w:szCs w:val="32"/>
        </w:rPr>
        <w:t>市政道路</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加快启动S312沿海中线改扩建、四明路高架（西环线至东环线段）、金海路改造、河头路北延等重大道路项目，推进</w:t>
      </w:r>
      <w:r>
        <w:rPr>
          <w:rFonts w:hint="eastAsia" w:ascii="仿宋_GB2312" w:hAnsi="仿宋_GB2312" w:eastAsia="仿宋_GB2312" w:cs="仿宋_GB2312"/>
          <w:sz w:val="32"/>
          <w:szCs w:val="32"/>
          <w:highlight w:val="none"/>
          <w:lang w:eastAsia="zh-CN"/>
        </w:rPr>
        <w:t>S</w:t>
      </w:r>
      <w:r>
        <w:rPr>
          <w:rFonts w:hint="eastAsia" w:ascii="仿宋_GB2312" w:hAnsi="仿宋_GB2312" w:eastAsia="仿宋_GB2312" w:cs="仿宋_GB2312"/>
          <w:sz w:val="32"/>
          <w:szCs w:val="32"/>
        </w:rPr>
        <w:t>203二期、</w:t>
      </w:r>
      <w:r>
        <w:rPr>
          <w:rFonts w:hint="eastAsia" w:ascii="仿宋_GB2312" w:hAnsi="仿宋_GB2312" w:eastAsia="仿宋_GB2312" w:cs="仿宋_GB2312"/>
          <w:sz w:val="32"/>
          <w:szCs w:val="32"/>
          <w:lang w:val="en-US" w:eastAsia="zh-CN"/>
        </w:rPr>
        <w:t>S</w:t>
      </w:r>
      <w:r>
        <w:rPr>
          <w:rFonts w:hint="eastAsia" w:ascii="仿宋_GB2312" w:hAnsi="仿宋_GB2312" w:eastAsia="仿宋_GB2312" w:cs="仿宋_GB2312"/>
          <w:sz w:val="32"/>
          <w:szCs w:val="32"/>
        </w:rPr>
        <w:t>310四明路东延、</w:t>
      </w:r>
      <w:r>
        <w:rPr>
          <w:rFonts w:hint="eastAsia" w:ascii="仿宋_GB2312" w:hAnsi="仿宋_GB2312" w:eastAsia="仿宋_GB2312" w:cs="仿宋_GB2312"/>
          <w:sz w:val="32"/>
          <w:szCs w:val="32"/>
          <w:lang w:val="en-US" w:eastAsia="zh-CN"/>
        </w:rPr>
        <w:t>S312</w:t>
      </w:r>
      <w:r>
        <w:rPr>
          <w:rFonts w:hint="eastAsia" w:ascii="仿宋_GB2312" w:hAnsi="仿宋_GB2312" w:eastAsia="仿宋_GB2312" w:cs="仿宋_GB2312"/>
          <w:sz w:val="32"/>
          <w:szCs w:val="32"/>
        </w:rPr>
        <w:t>连山快速路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滨海大道改扩建</w:t>
      </w:r>
      <w:r>
        <w:rPr>
          <w:rFonts w:hint="eastAsia" w:ascii="仿宋_GB2312" w:hAnsi="仿宋_GB2312" w:eastAsia="仿宋_GB2312" w:cs="仿宋_GB2312"/>
          <w:sz w:val="32"/>
          <w:szCs w:val="32"/>
        </w:rPr>
        <w:t>等重点工程建设，谋划奉莼二通道、奉溪二通道、江拔线拓宽等重大项目前期。加快与新昌、嵊州发展合作步伐，谋划溪口到绍兴的城际铁路，争取布局通绍交通基础设施，拓展宁波港口的腹地空间。</w:t>
      </w:r>
      <w:r>
        <w:rPr>
          <w:rFonts w:hint="eastAsia" w:ascii="仿宋_GB2312" w:hAnsi="仿宋_GB2312" w:eastAsia="仿宋_GB2312" w:cs="仿宋_GB2312"/>
          <w:b/>
          <w:bCs/>
          <w:sz w:val="32"/>
          <w:szCs w:val="32"/>
        </w:rPr>
        <w:t>彰显特质品质，</w:t>
      </w:r>
      <w:r>
        <w:rPr>
          <w:rFonts w:hint="eastAsia" w:ascii="仿宋_GB2312" w:hAnsi="仿宋_GB2312" w:eastAsia="仿宋_GB2312" w:cs="仿宋_GB2312"/>
          <w:sz w:val="32"/>
          <w:szCs w:val="32"/>
        </w:rPr>
        <w:t>在推动完成背街小巷整治、拔杆清网、空闲地块</w:t>
      </w:r>
      <w:r>
        <w:rPr>
          <w:rFonts w:hint="eastAsia" w:ascii="仿宋_GB2312" w:hAnsi="仿宋_GB2312" w:eastAsia="仿宋_GB2312" w:cs="仿宋_GB2312"/>
          <w:sz w:val="32"/>
          <w:szCs w:val="32"/>
          <w:lang w:val="en-US" w:eastAsia="zh-CN"/>
        </w:rPr>
        <w:t>利用</w:t>
      </w:r>
      <w:r>
        <w:rPr>
          <w:rFonts w:hint="eastAsia" w:ascii="仿宋_GB2312" w:hAnsi="仿宋_GB2312" w:eastAsia="仿宋_GB2312" w:cs="仿宋_GB2312"/>
          <w:sz w:val="32"/>
          <w:szCs w:val="32"/>
        </w:rPr>
        <w:t>基础上，片区化推进锦屏南山路中段及城里厢、岳林东部门户区等4个区块有机更新。改造提升“甬临新韵”等精品线路，加快城市绿地与智慧灯杆建设。制定出台奉化区公租房保障准入标准，适当扩大保障范围，做到应保尽保、应保快保。</w:t>
      </w:r>
      <w:r>
        <w:rPr>
          <w:rFonts w:hint="eastAsia" w:ascii="仿宋_GB2312" w:hAnsi="仿宋_GB2312" w:eastAsia="仿宋_GB2312" w:cs="仿宋_GB2312"/>
          <w:b/>
          <w:bCs/>
          <w:sz w:val="32"/>
          <w:szCs w:val="32"/>
        </w:rPr>
        <w:t>推进乡村全域整治，</w:t>
      </w:r>
      <w:r>
        <w:rPr>
          <w:rFonts w:hint="eastAsia" w:ascii="仿宋_GB2312" w:hAnsi="仿宋_GB2312" w:eastAsia="仿宋_GB2312" w:cs="仿宋_GB2312"/>
          <w:sz w:val="32"/>
          <w:szCs w:val="32"/>
        </w:rPr>
        <w:t>加快“多规合一”实用性村庄规划编制，研究制定新一轮农村住房改造实施意见，推动空心村、自然村搬迁撤并，有序引导农村人口和产业</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城镇集聚，统筹布局乡村基础设施和公共服务，推动乡村全面提质升级。</w:t>
      </w:r>
      <w:r>
        <w:rPr>
          <w:rFonts w:hint="eastAsia" w:ascii="仿宋_GB2312" w:hAnsi="仿宋_GB2312" w:eastAsia="仿宋_GB2312" w:cs="仿宋_GB2312"/>
          <w:b/>
          <w:bCs/>
          <w:sz w:val="32"/>
          <w:szCs w:val="32"/>
        </w:rPr>
        <w:t>保护生态家园，</w:t>
      </w:r>
      <w:r>
        <w:rPr>
          <w:rFonts w:hint="eastAsia" w:ascii="仿宋_GB2312" w:hAnsi="仿宋_GB2312" w:eastAsia="仿宋_GB2312" w:cs="仿宋_GB2312"/>
          <w:sz w:val="32"/>
          <w:szCs w:val="32"/>
        </w:rPr>
        <w:t>持续打好蓝天、碧水、净土保卫战，推进降碳、减污、扩绿协同增效，统筹保护四明山“绿底”、象山港“蓝湾”，争创国家生态文明建设示范区、“绿水青山就是金山银山”实践创新基地。投用循环经济园区污水处理厂，完成亭下水库预泄能力提升、避风锚地南堤水闸工程，加快建设市水库群东西线联通工程，启动新建城市生态廊道（西坞茗山—奉化同山）建设。</w:t>
      </w:r>
    </w:p>
    <w:p>
      <w:pPr>
        <w:spacing w:line="580" w:lineRule="exact"/>
        <w:ind w:firstLine="640" w:firstLineChars="200"/>
        <w:outlineLvl w:val="9"/>
        <w:rPr>
          <w:rFonts w:hint="eastAsia" w:ascii="楷体_GB2312" w:hAnsi="楷体_GB2312" w:eastAsia="楷体_GB2312" w:cs="楷体_GB2312"/>
          <w:sz w:val="32"/>
          <w:szCs w:val="32"/>
        </w:rPr>
      </w:pPr>
      <w:bookmarkStart w:id="74" w:name="_Toc27710"/>
      <w:bookmarkStart w:id="75" w:name="_Toc15996"/>
      <w:bookmarkStart w:id="76" w:name="_Toc22108"/>
      <w:bookmarkStart w:id="77" w:name="_Toc21327"/>
      <w:r>
        <w:rPr>
          <w:rFonts w:hint="eastAsia" w:ascii="楷体_GB2312" w:hAnsi="楷体_GB2312" w:eastAsia="楷体_GB2312" w:cs="楷体_GB2312"/>
          <w:sz w:val="32"/>
          <w:szCs w:val="32"/>
        </w:rPr>
        <w:t>（五）</w:t>
      </w:r>
      <w:bookmarkEnd w:id="74"/>
      <w:r>
        <w:rPr>
          <w:rFonts w:hint="eastAsia" w:ascii="楷体_GB2312" w:hAnsi="楷体_GB2312" w:eastAsia="楷体_GB2312" w:cs="楷体_GB2312"/>
          <w:sz w:val="32"/>
          <w:szCs w:val="32"/>
        </w:rPr>
        <w:t>全面提升营商环境，构建改革开放新格局</w:t>
      </w:r>
      <w:bookmarkEnd w:id="75"/>
      <w:bookmarkEnd w:id="76"/>
      <w:bookmarkEnd w:id="77"/>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坚持数字化思维、市场化理念、国际化视野，推动更深层次改革、更高水平开放，激发更加充沛的内生动力，营造一流营商环境，全面塑造高质量发展新优势。</w:t>
      </w:r>
      <w:r>
        <w:rPr>
          <w:rFonts w:hint="eastAsia" w:ascii="仿宋_GB2312" w:hAnsi="仿宋_GB2312" w:eastAsia="仿宋_GB2312" w:cs="仿宋_GB2312"/>
          <w:b/>
          <w:bCs/>
          <w:sz w:val="32"/>
          <w:szCs w:val="32"/>
        </w:rPr>
        <w:t>全面优化提升市场环境，</w:t>
      </w:r>
      <w:r>
        <w:rPr>
          <w:rFonts w:hint="eastAsia" w:ascii="仿宋_GB2312" w:hAnsi="仿宋_GB2312" w:eastAsia="仿宋_GB2312" w:cs="仿宋_GB2312"/>
          <w:sz w:val="32"/>
          <w:szCs w:val="32"/>
        </w:rPr>
        <w:t>推动新产业、新业态、新模式包容审慎监管和分级分类监管，强化经营中风险预警，构建平台经济全链条监管体系。培育壮大信用服务机构，推动信用在政务、商务、社会和司法等领域应用，强化信用信息共享、应用和公开，引导企业诚信自律。完善重大项目建设用地保障机制，优化工业用地配置，深入推进“标准地+”集成改革，启动实施省级跨乡镇全域土地综合整治试点。迭代升级“浙址通享（数字门牌）”综合应用、经济智治平台，提升以“空间+”为核心的为企服务和数智治理能力。</w:t>
      </w:r>
      <w:r>
        <w:rPr>
          <w:rFonts w:hint="eastAsia" w:ascii="仿宋_GB2312" w:hAnsi="仿宋_GB2312" w:eastAsia="仿宋_GB2312" w:cs="仿宋_GB2312"/>
          <w:b/>
          <w:bCs/>
          <w:sz w:val="32"/>
          <w:szCs w:val="32"/>
        </w:rPr>
        <w:t>持续优化政务环境，</w:t>
      </w:r>
      <w:r>
        <w:rPr>
          <w:rFonts w:hint="eastAsia" w:ascii="仿宋_GB2312" w:hAnsi="仿宋_GB2312" w:eastAsia="仿宋_GB2312" w:cs="仿宋_GB2312"/>
          <w:sz w:val="32"/>
          <w:szCs w:val="32"/>
        </w:rPr>
        <w:t>创新办事“一本通”、“肩并肩”帮代办、“零接触”办税、“帮小二”等服务模式，拓展“政务服务议事厅”等难题帮办路径，提升群众办事体验。深化政务服务“一网通办”，拓宽“云上”服务路径；推动“一件事一次办”向社会服务、工程项目、基层治理、监督执法等领域延伸拓展。完善政企常态沟通联络机制，开展稳企助企专项行动，强化服务集成，提升助企惠企效能。</w:t>
      </w:r>
      <w:r>
        <w:rPr>
          <w:rFonts w:hint="eastAsia" w:ascii="仿宋_GB2312" w:hAnsi="仿宋_GB2312" w:eastAsia="仿宋_GB2312" w:cs="仿宋_GB2312"/>
          <w:b/>
          <w:bCs/>
          <w:sz w:val="32"/>
          <w:szCs w:val="32"/>
          <w:highlight w:val="none"/>
        </w:rPr>
        <w:t>培育提升开放平台能级，</w:t>
      </w:r>
      <w:r>
        <w:rPr>
          <w:rFonts w:hint="eastAsia" w:ascii="仿宋_GB2312" w:hAnsi="仿宋_GB2312" w:eastAsia="仿宋_GB2312" w:cs="仿宋_GB2312"/>
          <w:sz w:val="32"/>
          <w:szCs w:val="32"/>
          <w:highlight w:val="none"/>
        </w:rPr>
        <w:t>紧抓宁波枢纽和枢纽自贸区建设、义甬舟大通道及中欧班列规划实施、滨海旅游休闲区临海区域整体规划等契机，依托宁南片区区位和空间优势、奉化火车站区块产业布局和发展方向以及滨海海港优势，联动研究三个区块高质量发展，积极探索争取获批国家综保区或宁波自贸区拓展区。依托原浙江船厂、渔港经济区等区域优势，谋划布局国际邮轮港、水产品进出口等口岸开放功能。</w:t>
      </w:r>
      <w:r>
        <w:rPr>
          <w:rFonts w:hint="eastAsia" w:ascii="仿宋_GB2312" w:hAnsi="仿宋_GB2312" w:eastAsia="仿宋_GB2312" w:cs="仿宋_GB2312"/>
          <w:b/>
          <w:bCs/>
          <w:sz w:val="32"/>
          <w:szCs w:val="32"/>
        </w:rPr>
        <w:t>培育壮大总部经济，</w:t>
      </w:r>
      <w:r>
        <w:rPr>
          <w:rFonts w:hint="eastAsia" w:ascii="仿宋_GB2312" w:hAnsi="仿宋_GB2312" w:eastAsia="仿宋_GB2312" w:cs="仿宋_GB2312"/>
          <w:sz w:val="32"/>
          <w:szCs w:val="32"/>
        </w:rPr>
        <w:t>加强与具有重点商品进口资质的央企、国企及民企合作，招引一批渠道型、供应链管理型和总部型贸易企业。深化实施“链长+链主+专精特新”协同机制，强化与单项冠军、专精特新等优质企业融通协作，增强产业国际竞争力。增强“链主”型企业龙头带动作用，助力构建“企—链—群”协同发展格局。优化完善总部经济发展扶持举措，在政策、资源、人才上“打包”支持。建立健全区级部门主要负责人联系总部企业机制，加强对各类总部企业的定期走访和对接服务。</w:t>
      </w:r>
    </w:p>
    <w:p>
      <w:pPr>
        <w:spacing w:line="580" w:lineRule="exact"/>
        <w:ind w:firstLine="640" w:firstLineChars="200"/>
        <w:outlineLvl w:val="9"/>
        <w:rPr>
          <w:rFonts w:hint="eastAsia" w:ascii="楷体_GB2312" w:hAnsi="楷体_GB2312" w:eastAsia="楷体_GB2312" w:cs="楷体_GB2312"/>
          <w:sz w:val="32"/>
          <w:szCs w:val="32"/>
          <w:lang w:eastAsia="zh-CN"/>
        </w:rPr>
      </w:pPr>
      <w:bookmarkStart w:id="78" w:name="_Toc19243"/>
      <w:bookmarkStart w:id="79" w:name="_Toc12700"/>
      <w:bookmarkStart w:id="80" w:name="_Toc9830"/>
      <w:bookmarkStart w:id="81" w:name="_Toc32486"/>
      <w:r>
        <w:rPr>
          <w:rFonts w:hint="eastAsia" w:ascii="楷体_GB2312" w:hAnsi="楷体_GB2312" w:eastAsia="楷体_GB2312" w:cs="楷体_GB2312"/>
          <w:sz w:val="32"/>
          <w:szCs w:val="32"/>
        </w:rPr>
        <w:t>（六）</w:t>
      </w:r>
      <w:bookmarkEnd w:id="78"/>
      <w:r>
        <w:rPr>
          <w:rFonts w:hint="eastAsia" w:ascii="楷体_GB2312" w:hAnsi="楷体_GB2312" w:eastAsia="楷体_GB2312" w:cs="楷体_GB2312"/>
          <w:sz w:val="32"/>
          <w:szCs w:val="32"/>
        </w:rPr>
        <w:t>擦亮“奉有”幸福品牌，扎实推动民生优享</w:t>
      </w:r>
      <w:bookmarkEnd w:id="79"/>
      <w:bookmarkEnd w:id="80"/>
      <w:bookmarkEnd w:id="81"/>
    </w:p>
    <w:p>
      <w:pPr>
        <w:spacing w:line="580" w:lineRule="exact"/>
        <w:ind w:firstLine="640" w:firstLineChars="200"/>
        <w:rPr>
          <w:rFonts w:eastAsia="方正仿宋简体" w:cs="方正仿宋简体"/>
          <w:sz w:val="32"/>
          <w:szCs w:val="32"/>
        </w:rPr>
      </w:pPr>
      <w:r>
        <w:rPr>
          <w:rFonts w:hint="eastAsia" w:ascii="仿宋_GB2312" w:hAnsi="仿宋_GB2312" w:eastAsia="仿宋_GB2312" w:cs="仿宋_GB2312"/>
          <w:sz w:val="32"/>
          <w:szCs w:val="32"/>
        </w:rPr>
        <w:t>聚焦奉化共同富裕特色区建设，持续实施新一轮民生同城化项目，深入开展公共服务“七优享”行动，编制出台基本公共服务标准，持续擦亮“奉优”公共服务品牌，最大限度释放民生红利、共享发展成果。</w:t>
      </w:r>
      <w:r>
        <w:rPr>
          <w:rFonts w:hint="eastAsia" w:ascii="仿宋_GB2312" w:hAnsi="仿宋_GB2312" w:eastAsia="仿宋_GB2312" w:cs="仿宋_GB2312"/>
          <w:b/>
          <w:bCs/>
          <w:sz w:val="32"/>
          <w:szCs w:val="32"/>
        </w:rPr>
        <w:t>促进更高水平就业增收</w:t>
      </w:r>
      <w:r>
        <w:rPr>
          <w:rFonts w:hint="eastAsia" w:ascii="仿宋_GB2312" w:hAnsi="仿宋_GB2312" w:eastAsia="仿宋_GB2312" w:cs="仿宋_GB2312"/>
          <w:sz w:val="32"/>
          <w:szCs w:val="32"/>
        </w:rPr>
        <w:t>，完善高质量就业创业扶持机制，优化高校毕业生、新奉化人等群体就业服务，更大力度支持多渠道灵活就业。推进“扩中”“提低”改革，落实差别化收入分配激励政策。推进社保提质扩面，支持新业态从业、灵活就业人员按规定参保，推行长期护理保险，积极落实个人养老金试点工作，夯实“弱有众扶”兜底保障。鼓励集体经营性建设用地入市增值，支持集体资产入股稳定收益项目。</w:t>
      </w:r>
      <w:r>
        <w:rPr>
          <w:rFonts w:hint="eastAsia" w:ascii="仿宋_GB2312" w:hAnsi="仿宋_GB2312" w:eastAsia="仿宋_GB2312" w:cs="仿宋_GB2312"/>
          <w:b/>
          <w:bCs/>
          <w:sz w:val="32"/>
          <w:szCs w:val="32"/>
        </w:rPr>
        <w:t>系统优化公共服务，</w:t>
      </w:r>
      <w:r>
        <w:rPr>
          <w:rFonts w:hint="eastAsia" w:ascii="仿宋_GB2312" w:hAnsi="仿宋_GB2312" w:eastAsia="仿宋_GB2312" w:cs="仿宋_GB2312"/>
          <w:sz w:val="32"/>
          <w:szCs w:val="32"/>
        </w:rPr>
        <w:t>聚焦“一老一小”整体解决，加快形成以家庭为基础、社区为依托、机构为补充的婴幼儿照护服务体系，构建全链条、一体化善育服务模式。加强养老服务供给、机制模式创新，推动养老服务便捷化、多样化、智慧化；稳步提升城乡居民基本养老保险待遇水平，加快发展企业年金、个人养老金、补充商业养老保险等多层次、多支柱的养老保险体系。促进学前教育普及普惠，持续加快公办园扩容步伐，巩固提升公办园在园幼儿占比，力争在2025年达到65%以上；有序推进托幼一体化，加快幼儿园适托化改造。以全国义务教育优质均衡区创建为目标，打造义务段“双强工程”2.0版，实施“奉中崛起计划”和“城南教育崛起计划”。推进职业教育高层次贯通融合，谋划建设职业教育中心学校易地迁建工程，优化职业教育资源布局。加强“15分钟学习服务圈”建设，不断满足全民终身学习需求。依托医疗教育资源，推动省级区域龙头学科和临床重点专科建设，持续开展合作办医，提升区域医疗技术服务水平；完善共富型多层次医疗保障体系，全面落实医疗救助政策保障，有序推动长护险扩面提质。</w:t>
      </w:r>
      <w:r>
        <w:rPr>
          <w:rFonts w:hint="eastAsia" w:ascii="仿宋_GB2312" w:hAnsi="仿宋_GB2312" w:eastAsia="仿宋_GB2312" w:cs="仿宋_GB2312"/>
          <w:b/>
          <w:bCs/>
          <w:sz w:val="32"/>
          <w:szCs w:val="32"/>
          <w:lang w:val="en-US" w:eastAsia="zh-CN"/>
        </w:rPr>
        <w:t>增强人口集聚势能，</w:t>
      </w:r>
      <w:r>
        <w:rPr>
          <w:rFonts w:hint="eastAsia" w:ascii="仿宋_GB2312" w:hAnsi="仿宋_GB2312" w:eastAsia="仿宋_GB2312" w:cs="仿宋_GB2312"/>
          <w:b w:val="0"/>
          <w:bCs w:val="0"/>
          <w:sz w:val="32"/>
          <w:szCs w:val="32"/>
          <w:lang w:val="en-US" w:eastAsia="zh-CN"/>
        </w:rPr>
        <w:t>全面落实三孩生育养育配套支持政策，研究出台奉化区《优化生育政策促进人口长期均衡发展实施方案》，合理配置资源，满足新增公共服务需求，加快形成适龄生育的制度环境。实施更加积极的人口政策，实行以经常居住地登记户口制度，全面放开放宽城镇地区落户限制，拓展流动人口量化积分应用范围，进一步推动劳动力要素合理畅通有序流动。综合施策加强正向生育激励，探索实施二孩、三孩生育奖励政策，完善鼓励生育的住房供给体系，探索0-6岁婴幼儿托育费、入园费政府财政适度补贴政策，持续降低生育养育负担。</w:t>
      </w:r>
      <w:r>
        <w:rPr>
          <w:rFonts w:hint="eastAsia" w:ascii="仿宋_GB2312" w:hAnsi="仿宋_GB2312" w:eastAsia="仿宋_GB2312" w:cs="仿宋_GB2312"/>
          <w:b/>
          <w:bCs/>
          <w:sz w:val="32"/>
          <w:szCs w:val="32"/>
        </w:rPr>
        <w:t>提升风险防范和社会治理能力，</w:t>
      </w:r>
      <w:r>
        <w:rPr>
          <w:rFonts w:hint="eastAsia" w:ascii="仿宋_GB2312" w:hAnsi="仿宋_GB2312" w:eastAsia="仿宋_GB2312" w:cs="仿宋_GB2312"/>
          <w:sz w:val="32"/>
          <w:szCs w:val="32"/>
        </w:rPr>
        <w:t>开展风险隐患专项整治行动，统筹防范化解道路运输、消防、涉海涉渔、食品药品等重点领域风险，提升极端天气防御能力。加强企业防护综合治理，稳妥处置企业流动性风险和房地产领域风险，维护金融安全生态。深化“1234”基层矛盾调解模式，实施社区分类治理，加强社工、网格员和志愿者队伍建设，筑强基层治理“最小单元”和平安奉化“细胞工程”，持续开展重点领域扫黑除恶、涉企犯罪、养老诈骗、电信网络诈骗打击整治。</w:t>
      </w:r>
    </w:p>
    <w:p>
      <w:pPr>
        <w:spacing w:line="580" w:lineRule="exact"/>
        <w:ind w:firstLine="640" w:firstLineChars="200"/>
        <w:rPr>
          <w:rFonts w:eastAsia="方正仿宋简体" w:cs="方正仿宋简体"/>
          <w:sz w:val="32"/>
          <w:szCs w:val="32"/>
        </w:rPr>
        <w:sectPr>
          <w:footerReference r:id="rId6" w:type="default"/>
          <w:pgSz w:w="11906" w:h="16838"/>
          <w:pgMar w:top="1440" w:right="1800" w:bottom="1440" w:left="1800" w:header="851" w:footer="992" w:gutter="0"/>
          <w:pgNumType w:start="1"/>
          <w:cols w:space="720" w:num="1"/>
          <w:docGrid w:type="lines" w:linePitch="312" w:charSpace="0"/>
        </w:sectPr>
      </w:pPr>
    </w:p>
    <w:p>
      <w:pPr>
        <w:pStyle w:val="2"/>
        <w:topLinePunct/>
        <w:snapToGrid w:val="0"/>
        <w:spacing w:before="0" w:after="0" w:line="580" w:lineRule="exact"/>
        <w:rPr>
          <w:rFonts w:hint="eastAsia" w:ascii="黑体" w:hAnsi="黑体" w:eastAsia="黑体" w:cs="黑体"/>
          <w:b w:val="0"/>
          <w:bCs w:val="0"/>
          <w:sz w:val="32"/>
          <w:szCs w:val="32"/>
        </w:rPr>
      </w:pPr>
      <w:bookmarkStart w:id="82" w:name="_Toc3964"/>
      <w:bookmarkStart w:id="83" w:name="_Toc1760"/>
      <w:bookmarkStart w:id="84" w:name="_Toc9559"/>
      <w:bookmarkStart w:id="85" w:name="_Toc5718"/>
      <w:bookmarkStart w:id="86" w:name="_Toc3381"/>
      <w:bookmarkStart w:id="87" w:name="_Toc145087783"/>
      <w:bookmarkStart w:id="88" w:name="_Toc28149"/>
      <w:r>
        <w:rPr>
          <w:rFonts w:hint="eastAsia" w:ascii="黑体" w:hAnsi="黑体" w:eastAsia="黑体" w:cs="黑体"/>
          <w:b w:val="0"/>
          <w:bCs w:val="0"/>
          <w:sz w:val="32"/>
          <w:szCs w:val="32"/>
        </w:rPr>
        <w:t>附表1</w:t>
      </w:r>
      <w:bookmarkEnd w:id="82"/>
      <w:bookmarkEnd w:id="83"/>
      <w:bookmarkStart w:id="89" w:name="_Toc27392"/>
      <w:bookmarkStart w:id="90" w:name="_Toc14751"/>
      <w:bookmarkStart w:id="91" w:name="_Toc14001"/>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《纲要》重点指标体系完成情况表</w:t>
      </w:r>
      <w:bookmarkEnd w:id="84"/>
      <w:bookmarkEnd w:id="85"/>
      <w:bookmarkEnd w:id="86"/>
      <w:bookmarkEnd w:id="87"/>
      <w:bookmarkEnd w:id="88"/>
      <w:bookmarkEnd w:id="89"/>
      <w:bookmarkEnd w:id="90"/>
      <w:bookmarkEnd w:id="91"/>
    </w:p>
    <w:tbl>
      <w:tblPr>
        <w:tblStyle w:val="19"/>
        <w:tblW w:w="1523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36"/>
        <w:gridCol w:w="533"/>
        <w:gridCol w:w="3427"/>
        <w:gridCol w:w="1002"/>
        <w:gridCol w:w="947"/>
        <w:gridCol w:w="1013"/>
        <w:gridCol w:w="947"/>
        <w:gridCol w:w="893"/>
        <w:gridCol w:w="932"/>
        <w:gridCol w:w="1188"/>
        <w:gridCol w:w="948"/>
        <w:gridCol w:w="919"/>
        <w:gridCol w:w="813"/>
        <w:gridCol w:w="12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8" w:hRule="atLeast"/>
          <w:tblHeader/>
          <w:jc w:val="center"/>
        </w:trPr>
        <w:tc>
          <w:tcPr>
            <w:tcW w:w="436" w:type="dxa"/>
            <w:vMerge w:val="restart"/>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kern w:val="0"/>
                <w:sz w:val="20"/>
                <w:szCs w:val="20"/>
              </w:rPr>
            </w:pPr>
            <w:r>
              <w:rPr>
                <w:rFonts w:hint="eastAsia" w:asciiTheme="minorEastAsia" w:hAnsiTheme="minorEastAsia" w:eastAsiaTheme="minorEastAsia" w:cstheme="minorEastAsia"/>
                <w:b/>
                <w:kern w:val="0"/>
                <w:sz w:val="20"/>
                <w:szCs w:val="20"/>
              </w:rPr>
              <w:t>序</w:t>
            </w:r>
          </w:p>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kern w:val="0"/>
                <w:sz w:val="20"/>
                <w:szCs w:val="20"/>
              </w:rPr>
            </w:pPr>
            <w:r>
              <w:rPr>
                <w:rFonts w:hint="eastAsia" w:asciiTheme="minorEastAsia" w:hAnsiTheme="minorEastAsia" w:eastAsiaTheme="minorEastAsia" w:cstheme="minorEastAsia"/>
                <w:b/>
                <w:kern w:val="0"/>
                <w:sz w:val="20"/>
                <w:szCs w:val="20"/>
              </w:rPr>
              <w:t>号</w:t>
            </w:r>
          </w:p>
        </w:tc>
        <w:tc>
          <w:tcPr>
            <w:tcW w:w="533" w:type="dxa"/>
            <w:vMerge w:val="restart"/>
            <w:shd w:val="clear" w:color="auto" w:fill="D8D8D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kern w:val="0"/>
                <w:sz w:val="20"/>
                <w:szCs w:val="20"/>
              </w:rPr>
            </w:pPr>
            <w:r>
              <w:rPr>
                <w:rFonts w:hint="eastAsia" w:asciiTheme="minorEastAsia" w:hAnsiTheme="minorEastAsia" w:eastAsiaTheme="minorEastAsia" w:cstheme="minorEastAsia"/>
                <w:b/>
                <w:kern w:val="0"/>
                <w:sz w:val="20"/>
                <w:szCs w:val="20"/>
              </w:rPr>
              <w:t>分</w:t>
            </w:r>
          </w:p>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kern w:val="0"/>
                <w:sz w:val="20"/>
                <w:szCs w:val="20"/>
              </w:rPr>
            </w:pPr>
            <w:r>
              <w:rPr>
                <w:rFonts w:hint="eastAsia" w:asciiTheme="minorEastAsia" w:hAnsiTheme="minorEastAsia" w:eastAsiaTheme="minorEastAsia" w:cstheme="minorEastAsia"/>
                <w:b/>
                <w:kern w:val="0"/>
                <w:sz w:val="20"/>
                <w:szCs w:val="20"/>
              </w:rPr>
              <w:t>类</w:t>
            </w:r>
          </w:p>
        </w:tc>
        <w:tc>
          <w:tcPr>
            <w:tcW w:w="3427" w:type="dxa"/>
            <w:vMerge w:val="restart"/>
            <w:shd w:val="clear" w:color="auto" w:fill="D8D8D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kern w:val="0"/>
                <w:sz w:val="20"/>
                <w:szCs w:val="20"/>
              </w:rPr>
            </w:pPr>
            <w:r>
              <w:rPr>
                <w:rFonts w:hint="eastAsia" w:asciiTheme="minorEastAsia" w:hAnsiTheme="minorEastAsia" w:eastAsiaTheme="minorEastAsia" w:cstheme="minorEastAsia"/>
                <w:b/>
                <w:kern w:val="0"/>
                <w:sz w:val="20"/>
                <w:szCs w:val="20"/>
              </w:rPr>
              <w:t>指标名称</w:t>
            </w:r>
          </w:p>
        </w:tc>
        <w:tc>
          <w:tcPr>
            <w:tcW w:w="1002" w:type="dxa"/>
            <w:vMerge w:val="restart"/>
            <w:shd w:val="clear" w:color="auto" w:fill="D8D8D8"/>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2020年</w:t>
            </w:r>
          </w:p>
        </w:tc>
        <w:tc>
          <w:tcPr>
            <w:tcW w:w="1960" w:type="dxa"/>
            <w:gridSpan w:val="2"/>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kern w:val="0"/>
                <w:sz w:val="20"/>
                <w:szCs w:val="20"/>
              </w:rPr>
              <w:t>“十四五”目标</w:t>
            </w:r>
          </w:p>
        </w:tc>
        <w:tc>
          <w:tcPr>
            <w:tcW w:w="2772" w:type="dxa"/>
            <w:gridSpan w:val="3"/>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实际值</w:t>
            </w:r>
          </w:p>
        </w:tc>
        <w:tc>
          <w:tcPr>
            <w:tcW w:w="2136" w:type="dxa"/>
            <w:gridSpan w:val="2"/>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预测值</w:t>
            </w:r>
          </w:p>
        </w:tc>
        <w:tc>
          <w:tcPr>
            <w:tcW w:w="919" w:type="dxa"/>
            <w:vMerge w:val="restart"/>
            <w:shd w:val="clear" w:color="auto" w:fill="D8D8D8"/>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中期评价</w:t>
            </w:r>
          </w:p>
        </w:tc>
        <w:tc>
          <w:tcPr>
            <w:tcW w:w="813" w:type="dxa"/>
            <w:vMerge w:val="restart"/>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属性</w:t>
            </w:r>
          </w:p>
        </w:tc>
        <w:tc>
          <w:tcPr>
            <w:tcW w:w="1240" w:type="dxa"/>
            <w:vMerge w:val="restart"/>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责任单位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8" w:hRule="atLeast"/>
          <w:tblHeader/>
          <w:jc w:val="center"/>
        </w:trPr>
        <w:tc>
          <w:tcPr>
            <w:tcW w:w="436" w:type="dxa"/>
            <w:vMerge w:val="continue"/>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kern w:val="0"/>
                <w:sz w:val="20"/>
                <w:szCs w:val="20"/>
              </w:rPr>
            </w:pPr>
          </w:p>
        </w:tc>
        <w:tc>
          <w:tcPr>
            <w:tcW w:w="533" w:type="dxa"/>
            <w:vMerge w:val="continue"/>
            <w:shd w:val="clear" w:color="auto" w:fill="D8D8D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kern w:val="0"/>
                <w:sz w:val="20"/>
                <w:szCs w:val="20"/>
              </w:rPr>
            </w:pPr>
          </w:p>
        </w:tc>
        <w:tc>
          <w:tcPr>
            <w:tcW w:w="3427" w:type="dxa"/>
            <w:vMerge w:val="continue"/>
            <w:shd w:val="clear" w:color="auto" w:fill="D8D8D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kern w:val="0"/>
                <w:sz w:val="20"/>
                <w:szCs w:val="20"/>
              </w:rPr>
            </w:pPr>
          </w:p>
        </w:tc>
        <w:tc>
          <w:tcPr>
            <w:tcW w:w="1002" w:type="dxa"/>
            <w:vMerge w:val="continue"/>
            <w:shd w:val="clear" w:color="auto" w:fill="D8D8D8"/>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0"/>
                <w:szCs w:val="20"/>
              </w:rPr>
            </w:pPr>
          </w:p>
        </w:tc>
        <w:tc>
          <w:tcPr>
            <w:tcW w:w="947" w:type="dxa"/>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kern w:val="0"/>
                <w:sz w:val="20"/>
                <w:szCs w:val="20"/>
              </w:rPr>
            </w:pPr>
            <w:r>
              <w:rPr>
                <w:rFonts w:hint="eastAsia" w:asciiTheme="minorEastAsia" w:hAnsiTheme="minorEastAsia" w:eastAsiaTheme="minorEastAsia" w:cstheme="minorEastAsia"/>
                <w:b/>
                <w:kern w:val="0"/>
                <w:sz w:val="20"/>
                <w:szCs w:val="20"/>
              </w:rPr>
              <w:t>2025年</w:t>
            </w:r>
          </w:p>
        </w:tc>
        <w:tc>
          <w:tcPr>
            <w:tcW w:w="1013" w:type="dxa"/>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年均增速</w:t>
            </w:r>
          </w:p>
        </w:tc>
        <w:tc>
          <w:tcPr>
            <w:tcW w:w="947" w:type="dxa"/>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2021年</w:t>
            </w:r>
          </w:p>
        </w:tc>
        <w:tc>
          <w:tcPr>
            <w:tcW w:w="893" w:type="dxa"/>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2022年</w:t>
            </w:r>
          </w:p>
        </w:tc>
        <w:tc>
          <w:tcPr>
            <w:tcW w:w="932" w:type="dxa"/>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2023年上</w:t>
            </w:r>
          </w:p>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半年</w:t>
            </w:r>
          </w:p>
        </w:tc>
        <w:tc>
          <w:tcPr>
            <w:tcW w:w="1188" w:type="dxa"/>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2023年</w:t>
            </w:r>
          </w:p>
        </w:tc>
        <w:tc>
          <w:tcPr>
            <w:tcW w:w="948" w:type="dxa"/>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2" w:hangingChars="20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2025年</w:t>
            </w:r>
          </w:p>
        </w:tc>
        <w:tc>
          <w:tcPr>
            <w:tcW w:w="919" w:type="dxa"/>
            <w:vMerge w:val="continue"/>
            <w:shd w:val="clear" w:color="auto" w:fill="D8D8D8"/>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sz w:val="20"/>
                <w:szCs w:val="20"/>
              </w:rPr>
            </w:pPr>
          </w:p>
        </w:tc>
        <w:tc>
          <w:tcPr>
            <w:tcW w:w="813" w:type="dxa"/>
            <w:vMerge w:val="continue"/>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sz w:val="20"/>
                <w:szCs w:val="20"/>
              </w:rPr>
            </w:pPr>
          </w:p>
        </w:tc>
        <w:tc>
          <w:tcPr>
            <w:tcW w:w="1240" w:type="dxa"/>
            <w:vMerge w:val="continue"/>
            <w:shd w:val="clear" w:color="auto" w:fill="D8D8D8"/>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w:t>
            </w:r>
          </w:p>
        </w:tc>
        <w:tc>
          <w:tcPr>
            <w:tcW w:w="533" w:type="dxa"/>
            <w:vMerge w:val="restart"/>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质</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效</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提</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Cs/>
                <w:kern w:val="0"/>
                <w:sz w:val="20"/>
                <w:szCs w:val="20"/>
              </w:rPr>
            </w:pPr>
            <w:r>
              <w:rPr>
                <w:rFonts w:hint="eastAsia" w:asciiTheme="minorEastAsia" w:hAnsiTheme="minorEastAsia" w:eastAsiaTheme="minorEastAsia" w:cstheme="minorEastAsia"/>
                <w:b/>
                <w:sz w:val="20"/>
                <w:szCs w:val="20"/>
              </w:rPr>
              <w:t>升</w:t>
            </w: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全区生产总值（亿元）</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685</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1200</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947"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848.4</w:t>
            </w:r>
          </w:p>
        </w:tc>
        <w:tc>
          <w:tcPr>
            <w:tcW w:w="89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907.3</w:t>
            </w:r>
          </w:p>
        </w:tc>
        <w:tc>
          <w:tcPr>
            <w:tcW w:w="932"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445</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1000</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1200</w:t>
            </w:r>
          </w:p>
        </w:tc>
        <w:tc>
          <w:tcPr>
            <w:tcW w:w="919"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区发改局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2</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全员劳动生产率（万元/人）</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17.7</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26.7</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w:t>
            </w:r>
          </w:p>
        </w:tc>
        <w:tc>
          <w:tcPr>
            <w:tcW w:w="947"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24.9</w:t>
            </w:r>
          </w:p>
        </w:tc>
        <w:tc>
          <w:tcPr>
            <w:tcW w:w="89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26.4</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12.9</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28</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30</w:t>
            </w:r>
          </w:p>
        </w:tc>
        <w:tc>
          <w:tcPr>
            <w:tcW w:w="919"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区发改局</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区经信局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3</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有效发明专利拥有量（件）</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970</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1720</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【750】</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1174</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1450</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1560</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1660</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1800</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区市场监管局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4</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人才资源总量（万人）</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15.2</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24.5</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【9.3】</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17.09</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19.19</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21.4</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24.5</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区人社局</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区委人才办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5</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货物和服务贸易总额（亿元）</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237</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382</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272</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305</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148</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336</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407</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区商务局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6</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实际利用外资增长率（</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4.5</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14.9</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9.1</w:t>
            </w:r>
          </w:p>
        </w:tc>
        <w:tc>
          <w:tcPr>
            <w:tcW w:w="932"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-72.4</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49.8</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区投促局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7</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规模以上工业企业营业收入利润率（%）</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6.5</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8</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【1.5】</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5.8</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5.9</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7</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6.5</w:t>
            </w:r>
          </w:p>
        </w:tc>
        <w:tc>
          <w:tcPr>
            <w:tcW w:w="948"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8</w:t>
            </w:r>
          </w:p>
        </w:tc>
        <w:tc>
          <w:tcPr>
            <w:tcW w:w="919"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区经信局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8</w:t>
            </w:r>
          </w:p>
        </w:tc>
        <w:tc>
          <w:tcPr>
            <w:tcW w:w="533" w:type="dxa"/>
            <w:vMerge w:val="restart"/>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rPr>
              <w:t>结</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rPr>
              <w:t>构</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rPr>
              <w:t>优</w:t>
            </w:r>
          </w:p>
          <w:p>
            <w:pPr>
              <w:keepNext w:val="0"/>
              <w:keepLines w:val="0"/>
              <w:suppressLineNumbers w:val="0"/>
              <w:adjustRightInd w:val="0"/>
              <w:snapToGrid w:val="0"/>
              <w:spacing w:before="0" w:beforeAutospacing="0" w:after="0" w:afterAutospacing="0" w:line="320" w:lineRule="exact"/>
              <w:ind w:left="400" w:right="0" w:hanging="402" w:hangingChars="200"/>
              <w:jc w:val="center"/>
              <w:rPr>
                <w:rFonts w:hint="eastAsia" w:asciiTheme="minorEastAsia" w:hAnsiTheme="minorEastAsia" w:eastAsiaTheme="minorEastAsia" w:cstheme="minorEastAsia"/>
                <w:bCs/>
                <w:kern w:val="0"/>
                <w:sz w:val="20"/>
                <w:szCs w:val="20"/>
              </w:rPr>
            </w:pPr>
            <w:r>
              <w:rPr>
                <w:rFonts w:hint="eastAsia" w:asciiTheme="minorEastAsia" w:hAnsiTheme="minorEastAsia" w:eastAsiaTheme="minorEastAsia" w:cstheme="minorEastAsia"/>
                <w:b/>
                <w:color w:val="000000"/>
                <w:sz w:val="20"/>
                <w:szCs w:val="20"/>
              </w:rPr>
              <w:t>化</w:t>
            </w: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Style w:val="37"/>
                <w:rFonts w:hint="eastAsia" w:asciiTheme="minorEastAsia" w:hAnsiTheme="minorEastAsia" w:eastAsiaTheme="minorEastAsia" w:cstheme="minorEastAsia"/>
                <w:sz w:val="20"/>
                <w:szCs w:val="20"/>
                <w:lang w:bidi="ar"/>
              </w:rPr>
              <w:t>R</w:t>
            </w:r>
            <w:r>
              <w:rPr>
                <w:rFonts w:hint="eastAsia" w:asciiTheme="minorEastAsia" w:hAnsiTheme="minorEastAsia" w:eastAsiaTheme="minorEastAsia" w:cstheme="minorEastAsia"/>
                <w:color w:val="000000"/>
                <w:kern w:val="0"/>
                <w:sz w:val="20"/>
                <w:szCs w:val="20"/>
                <w:lang w:bidi="ar"/>
              </w:rPr>
              <w:t>＆</w:t>
            </w:r>
            <w:r>
              <w:rPr>
                <w:rStyle w:val="37"/>
                <w:rFonts w:hint="eastAsia" w:asciiTheme="minorEastAsia" w:hAnsiTheme="minorEastAsia" w:eastAsiaTheme="minorEastAsia" w:cstheme="minorEastAsia"/>
                <w:sz w:val="20"/>
                <w:szCs w:val="20"/>
                <w:lang w:bidi="ar"/>
              </w:rPr>
              <w:t>D</w:t>
            </w:r>
            <w:r>
              <w:rPr>
                <w:rFonts w:hint="eastAsia" w:asciiTheme="minorEastAsia" w:hAnsiTheme="minorEastAsia" w:eastAsiaTheme="minorEastAsia" w:cstheme="minorEastAsia"/>
                <w:color w:val="000000"/>
                <w:kern w:val="0"/>
                <w:sz w:val="20"/>
                <w:szCs w:val="20"/>
                <w:lang w:bidi="ar"/>
              </w:rPr>
              <w:t>经费支出占GDP比重（%）</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2.2</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3.6</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【1.4】</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2.13</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2.26</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2.3</w:t>
            </w:r>
          </w:p>
        </w:tc>
        <w:tc>
          <w:tcPr>
            <w:tcW w:w="948"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3.0</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未达要求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区科技局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9</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高新技术产业增加值占规上工业增加值比重（</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22.3</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32.7</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【10.4】</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27.6</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28.1</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27.6</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30.1</w:t>
            </w:r>
          </w:p>
        </w:tc>
        <w:tc>
          <w:tcPr>
            <w:tcW w:w="948"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32.7</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区科技局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10</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现代服务业增加值占服务业增加值比重（%）</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30</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40</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32.2</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34.3</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36.1</w:t>
            </w:r>
          </w:p>
        </w:tc>
        <w:tc>
          <w:tcPr>
            <w:tcW w:w="948"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40</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区服务业发展中心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11</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数字经济核心产业增加值占GDP比重（</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3.4</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11</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【7.6】</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4.3</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4.5</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4.8</w:t>
            </w:r>
          </w:p>
        </w:tc>
        <w:tc>
          <w:tcPr>
            <w:tcW w:w="948"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9</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未达要求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区经信局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12</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文化及相关产业增加值占GDP比重（</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6</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7</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6</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8</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10</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区委宣传部</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区文广旅体局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4"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13</w:t>
            </w:r>
          </w:p>
        </w:tc>
        <w:tc>
          <w:tcPr>
            <w:tcW w:w="533" w:type="dxa"/>
            <w:vMerge w:val="restart"/>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b/>
                <w:color w:val="000000"/>
                <w:sz w:val="20"/>
                <w:szCs w:val="20"/>
              </w:rPr>
            </w:pPr>
          </w:p>
          <w:p>
            <w:pPr>
              <w:pStyle w:val="15"/>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000000"/>
                <w:sz w:val="20"/>
                <w:szCs w:val="20"/>
              </w:rPr>
            </w:pPr>
          </w:p>
          <w:p>
            <w:pPr>
              <w:pStyle w:val="15"/>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000000"/>
                <w:sz w:val="20"/>
                <w:szCs w:val="20"/>
              </w:rPr>
            </w:pPr>
          </w:p>
          <w:p>
            <w:pPr>
              <w:pStyle w:val="15"/>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000000"/>
                <w:sz w:val="20"/>
                <w:szCs w:val="20"/>
              </w:rPr>
            </w:pPr>
          </w:p>
          <w:p>
            <w:pPr>
              <w:pStyle w:val="15"/>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000000"/>
                <w:sz w:val="20"/>
                <w:szCs w:val="20"/>
              </w:rPr>
            </w:pPr>
          </w:p>
          <w:p>
            <w:pPr>
              <w:pStyle w:val="15"/>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000000"/>
                <w:sz w:val="20"/>
                <w:szCs w:val="20"/>
              </w:rPr>
            </w:pPr>
          </w:p>
          <w:p>
            <w:pPr>
              <w:pStyle w:val="15"/>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000000"/>
                <w:sz w:val="20"/>
                <w:szCs w:val="20"/>
              </w:rPr>
            </w:pP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rPr>
              <w:t>绿</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rPr>
              <w:t>色</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rPr>
              <w:t>发</w:t>
            </w:r>
          </w:p>
          <w:p>
            <w:pPr>
              <w:keepNext w:val="0"/>
              <w:keepLines w:val="0"/>
              <w:suppressLineNumbers w:val="0"/>
              <w:adjustRightInd w:val="0"/>
              <w:snapToGrid w:val="0"/>
              <w:spacing w:before="0" w:beforeAutospacing="0" w:after="0" w:afterAutospacing="0" w:line="320" w:lineRule="exact"/>
              <w:ind w:left="400" w:right="0" w:hanging="402" w:hangingChars="200"/>
              <w:jc w:val="center"/>
              <w:rPr>
                <w:rFonts w:hint="eastAsia" w:asciiTheme="minorEastAsia" w:hAnsiTheme="minorEastAsia" w:eastAsiaTheme="minorEastAsia" w:cstheme="minorEastAsia"/>
                <w:bCs/>
                <w:kern w:val="0"/>
                <w:sz w:val="20"/>
                <w:szCs w:val="20"/>
              </w:rPr>
            </w:pPr>
            <w:r>
              <w:rPr>
                <w:rFonts w:hint="eastAsia" w:asciiTheme="minorEastAsia" w:hAnsiTheme="minorEastAsia" w:eastAsiaTheme="minorEastAsia" w:cstheme="minorEastAsia"/>
                <w:b/>
                <w:color w:val="000000"/>
                <w:sz w:val="20"/>
                <w:szCs w:val="20"/>
              </w:rPr>
              <w:t>展</w:t>
            </w: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单位</w:t>
            </w:r>
            <w:r>
              <w:rPr>
                <w:rStyle w:val="37"/>
                <w:rFonts w:hint="eastAsia" w:asciiTheme="minorEastAsia" w:hAnsiTheme="minorEastAsia" w:eastAsiaTheme="minorEastAsia" w:cstheme="minorEastAsia"/>
                <w:sz w:val="20"/>
                <w:szCs w:val="20"/>
                <w:lang w:bidi="ar"/>
              </w:rPr>
              <w:t>GDP</w:t>
            </w:r>
            <w:r>
              <w:rPr>
                <w:rFonts w:hint="eastAsia" w:asciiTheme="minorEastAsia" w:hAnsiTheme="minorEastAsia" w:eastAsiaTheme="minorEastAsia" w:cstheme="minorEastAsia"/>
                <w:color w:val="000000"/>
                <w:kern w:val="0"/>
                <w:sz w:val="20"/>
                <w:szCs w:val="20"/>
                <w:lang w:bidi="ar"/>
              </w:rPr>
              <w:t>建设用地降幅（</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10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完成上级下达指标</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19.39</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区资规分局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14</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单位</w:t>
            </w:r>
            <w:r>
              <w:rPr>
                <w:rStyle w:val="37"/>
                <w:rFonts w:hint="eastAsia" w:asciiTheme="minorEastAsia" w:hAnsiTheme="minorEastAsia" w:eastAsiaTheme="minorEastAsia" w:cstheme="minorEastAsia"/>
                <w:sz w:val="20"/>
                <w:szCs w:val="20"/>
                <w:lang w:bidi="ar"/>
              </w:rPr>
              <w:t>GDP</w:t>
            </w:r>
            <w:r>
              <w:rPr>
                <w:rFonts w:hint="eastAsia" w:asciiTheme="minorEastAsia" w:hAnsiTheme="minorEastAsia" w:eastAsiaTheme="minorEastAsia" w:cstheme="minorEastAsia"/>
                <w:color w:val="000000"/>
                <w:kern w:val="0"/>
                <w:sz w:val="20"/>
                <w:szCs w:val="20"/>
                <w:lang w:bidi="ar"/>
              </w:rPr>
              <w:t>二氧化碳排放降幅（</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10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完成上级下达指标</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难以评估</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15</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单位</w:t>
            </w:r>
            <w:r>
              <w:rPr>
                <w:rStyle w:val="37"/>
                <w:rFonts w:hint="eastAsia" w:asciiTheme="minorEastAsia" w:hAnsiTheme="minorEastAsia" w:eastAsiaTheme="minorEastAsia" w:cstheme="minorEastAsia"/>
                <w:sz w:val="20"/>
                <w:szCs w:val="20"/>
                <w:lang w:bidi="ar"/>
              </w:rPr>
              <w:t>GDP</w:t>
            </w:r>
            <w:r>
              <w:rPr>
                <w:rFonts w:hint="eastAsia" w:asciiTheme="minorEastAsia" w:hAnsiTheme="minorEastAsia" w:eastAsiaTheme="minorEastAsia" w:cstheme="minorEastAsia"/>
                <w:color w:val="000000"/>
                <w:kern w:val="0"/>
                <w:sz w:val="20"/>
                <w:szCs w:val="20"/>
                <w:lang w:bidi="ar"/>
              </w:rPr>
              <w:t>能源消耗降幅（</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10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完成上级下达指标</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-1.2</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0.71</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5.1</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2.7</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区发改局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16</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万元GDP用水量降幅（%）</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10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20"/>
                <w:szCs w:val="20"/>
                <w:lang w:bidi="ar"/>
              </w:rPr>
            </w:pPr>
            <w:r>
              <w:rPr>
                <w:rFonts w:hint="eastAsia" w:asciiTheme="minorEastAsia" w:hAnsiTheme="minorEastAsia" w:eastAsiaTheme="minorEastAsia" w:cstheme="minorEastAsia"/>
                <w:kern w:val="0"/>
                <w:sz w:val="20"/>
                <w:szCs w:val="20"/>
                <w:lang w:bidi="ar"/>
              </w:rPr>
              <w:t>完成上级下达指标</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19.62</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26.06</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28.11</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31.7</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区水利局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17</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地表水达到或好于Ⅲ类水质比例（</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100</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100</w:t>
            </w:r>
          </w:p>
        </w:tc>
        <w:tc>
          <w:tcPr>
            <w:tcW w:w="10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100</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100</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100</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100</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100</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（提前）</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18</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空气质量优良天数比率（</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91</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&gt;90</w:t>
            </w:r>
          </w:p>
        </w:tc>
        <w:tc>
          <w:tcPr>
            <w:tcW w:w="10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97.3</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92.9</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92.3</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≥93</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&gt;93</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19</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细颗粒物（PM</w:t>
            </w:r>
            <w:r>
              <w:rPr>
                <w:rFonts w:hint="eastAsia" w:asciiTheme="minorEastAsia" w:hAnsiTheme="minorEastAsia" w:eastAsiaTheme="minorEastAsia" w:cstheme="minorEastAsia"/>
                <w:color w:val="000000"/>
                <w:kern w:val="0"/>
                <w:sz w:val="20"/>
                <w:szCs w:val="20"/>
                <w:vertAlign w:val="subscript"/>
                <w:lang w:bidi="ar"/>
              </w:rPr>
              <w:t>2.5</w:t>
            </w:r>
            <w:r>
              <w:rPr>
                <w:rFonts w:hint="eastAsia" w:asciiTheme="minorEastAsia" w:hAnsiTheme="minorEastAsia" w:eastAsiaTheme="minorEastAsia" w:cstheme="minorEastAsia"/>
                <w:color w:val="000000"/>
                <w:kern w:val="0"/>
                <w:sz w:val="20"/>
                <w:szCs w:val="20"/>
                <w:lang w:bidi="ar"/>
              </w:rPr>
              <w:t>）平均浓度（微克/立方米）</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25</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24</w:t>
            </w:r>
          </w:p>
        </w:tc>
        <w:tc>
          <w:tcPr>
            <w:tcW w:w="10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25</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25</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27</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27</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24</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20</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城镇生活垃圾回收利用率（</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40</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45</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67</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70</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70</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70</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70</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（提前）</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区商务局</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区综合执法局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21</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森林覆盖率（</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64.8</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64.8</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65.16</w:t>
            </w:r>
          </w:p>
        </w:tc>
        <w:tc>
          <w:tcPr>
            <w:tcW w:w="893"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64.95</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58.44</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58.48</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58.48</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难以评估</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区资规分局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22</w:t>
            </w:r>
          </w:p>
        </w:tc>
        <w:tc>
          <w:tcPr>
            <w:tcW w:w="533" w:type="dxa"/>
            <w:vMerge w:val="restart"/>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rPr>
              <w:t>协</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rPr>
              <w:t>调</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rPr>
              <w:t>共</w:t>
            </w:r>
          </w:p>
          <w:p>
            <w:pPr>
              <w:keepNext w:val="0"/>
              <w:keepLines w:val="0"/>
              <w:suppressLineNumbers w:val="0"/>
              <w:adjustRightInd w:val="0"/>
              <w:snapToGrid w:val="0"/>
              <w:spacing w:before="0" w:beforeAutospacing="0" w:after="0" w:afterAutospacing="0" w:line="320" w:lineRule="exact"/>
              <w:ind w:left="400" w:right="0" w:hanging="402" w:hangingChars="200"/>
              <w:jc w:val="center"/>
              <w:rPr>
                <w:rFonts w:hint="eastAsia" w:asciiTheme="minorEastAsia" w:hAnsiTheme="minorEastAsia" w:eastAsiaTheme="minorEastAsia" w:cstheme="minorEastAsia"/>
                <w:bCs/>
                <w:kern w:val="0"/>
                <w:sz w:val="20"/>
                <w:szCs w:val="20"/>
              </w:rPr>
            </w:pPr>
            <w:r>
              <w:rPr>
                <w:rFonts w:hint="eastAsia" w:asciiTheme="minorEastAsia" w:hAnsiTheme="minorEastAsia" w:eastAsiaTheme="minorEastAsia" w:cstheme="minorEastAsia"/>
                <w:b/>
                <w:color w:val="000000"/>
                <w:sz w:val="20"/>
                <w:szCs w:val="20"/>
              </w:rPr>
              <w:t>享</w:t>
            </w: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常住人口城镇化率（</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57</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70</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【13】</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60.5</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61.2</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62</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65</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未达要求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区发改局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23</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居民人均可支配收入增长率（</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与经济增长同步</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9.8</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5.6</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5.5</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5.5</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与经济增长同步</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区发改局</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区农业农村局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24</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城镇新增就业人数（万人）</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【7.5】</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2.03</w:t>
            </w:r>
          </w:p>
        </w:tc>
        <w:tc>
          <w:tcPr>
            <w:tcW w:w="893" w:type="dxa"/>
            <w:vAlign w:val="center"/>
          </w:tcPr>
          <w:p>
            <w:pPr>
              <w:keepNext w:val="0"/>
              <w:keepLines w:val="0"/>
              <w:suppressLineNumbers w:val="0"/>
              <w:adjustRightInd w:val="0"/>
              <w:snapToGrid w:val="0"/>
              <w:spacing w:before="0" w:beforeAutospacing="0" w:after="0" w:afterAutospacing="0" w:line="320" w:lineRule="exact"/>
              <w:ind w:left="400" w:right="0" w:hanging="400" w:hangingChars="20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3.97</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4.55</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5.17</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7.5</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区人社局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7"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25</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每千人拥有</w:t>
            </w:r>
            <w:r>
              <w:rPr>
                <w:rStyle w:val="37"/>
                <w:rFonts w:hint="eastAsia" w:asciiTheme="minorEastAsia" w:hAnsiTheme="minorEastAsia" w:eastAsiaTheme="minorEastAsia" w:cstheme="minorEastAsia"/>
                <w:sz w:val="20"/>
                <w:szCs w:val="20"/>
                <w:lang w:bidi="ar"/>
              </w:rPr>
              <w:t>3</w:t>
            </w:r>
            <w:r>
              <w:rPr>
                <w:rFonts w:hint="eastAsia" w:asciiTheme="minorEastAsia" w:hAnsiTheme="minorEastAsia" w:eastAsiaTheme="minorEastAsia" w:cstheme="minorEastAsia"/>
                <w:color w:val="000000"/>
                <w:kern w:val="0"/>
                <w:sz w:val="20"/>
                <w:szCs w:val="20"/>
                <w:lang w:bidi="ar"/>
              </w:rPr>
              <w:t>岁以下婴幼儿照护设施托位数（个）</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1.25</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4.5</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【3.25】</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2.52</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3.52</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3.89</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4</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4.55</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区卫生健康局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26</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每千人执业（助理）医师数（个）</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3.41</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【0.59】</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3.33</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3.45</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3.46</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3.59</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区卫生健康局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27</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每万老年人拥有执证养老护理员数（人）</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16</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30</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【14】</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28</w:t>
            </w:r>
          </w:p>
        </w:tc>
        <w:tc>
          <w:tcPr>
            <w:tcW w:w="893"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29</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30</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30</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32</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（提前）</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区民政局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28</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人均体育场地面积（平方米）</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4.41</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4.63</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【0.22】</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3.96</w:t>
            </w:r>
          </w:p>
        </w:tc>
        <w:tc>
          <w:tcPr>
            <w:tcW w:w="893"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4.07</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4.08</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4.2</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难以评估</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区文广旅体局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29</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综合行政执法事项占比（%）</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【13】</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893"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20</w:t>
            </w:r>
          </w:p>
        </w:tc>
        <w:tc>
          <w:tcPr>
            <w:tcW w:w="932"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25</w:t>
            </w:r>
          </w:p>
        </w:tc>
        <w:tc>
          <w:tcPr>
            <w:tcW w:w="1188"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25</w:t>
            </w:r>
          </w:p>
        </w:tc>
        <w:tc>
          <w:tcPr>
            <w:tcW w:w="948"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25</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（提前）</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区综合执法局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30</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依申请政务服务办件“一网通办”率（%）</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90</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89.93</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98.47</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99.73</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99</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99</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p>
            <w:pPr>
              <w:keepNext w:val="0"/>
              <w:keepLines w:val="0"/>
              <w:suppressLineNumbers w:val="0"/>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（提前）</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区大数据中心</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区政务办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31</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亿元GDP生产安全事故死亡率（人</w:t>
            </w:r>
            <w:r>
              <w:rPr>
                <w:rStyle w:val="37"/>
                <w:rFonts w:hint="eastAsia" w:asciiTheme="minorEastAsia" w:hAnsiTheme="minorEastAsia" w:eastAsiaTheme="minorEastAsia" w:cstheme="minorEastAsia"/>
                <w:sz w:val="20"/>
                <w:szCs w:val="20"/>
                <w:lang w:bidi="ar"/>
              </w:rPr>
              <w:t>/</w:t>
            </w:r>
            <w:r>
              <w:rPr>
                <w:rFonts w:hint="eastAsia" w:asciiTheme="minorEastAsia" w:hAnsiTheme="minorEastAsia" w:eastAsiaTheme="minorEastAsia" w:cstheme="minorEastAsia"/>
                <w:color w:val="000000"/>
                <w:kern w:val="0"/>
                <w:sz w:val="20"/>
                <w:szCs w:val="20"/>
                <w:lang w:bidi="ar"/>
              </w:rPr>
              <w:t>亿元）</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0.009</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&lt;0.006</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0.008</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0.0075</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0.007</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0.007</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&lt;0.006</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区应急管理局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jc w:val="center"/>
        </w:trPr>
        <w:tc>
          <w:tcPr>
            <w:tcW w:w="436"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bidi="ar"/>
              </w:rPr>
              <w:t>32</w:t>
            </w:r>
          </w:p>
        </w:tc>
        <w:tc>
          <w:tcPr>
            <w:tcW w:w="533"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bCs/>
                <w:kern w:val="0"/>
                <w:sz w:val="20"/>
                <w:szCs w:val="20"/>
              </w:rPr>
            </w:pPr>
          </w:p>
        </w:tc>
        <w:tc>
          <w:tcPr>
            <w:tcW w:w="342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粮食综合生产能力（亿斤）</w:t>
            </w:r>
          </w:p>
        </w:tc>
        <w:tc>
          <w:tcPr>
            <w:tcW w:w="1002"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4.03</w:t>
            </w:r>
          </w:p>
        </w:tc>
        <w:tc>
          <w:tcPr>
            <w:tcW w:w="9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4.03</w:t>
            </w:r>
          </w:p>
        </w:tc>
        <w:tc>
          <w:tcPr>
            <w:tcW w:w="1013"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947"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4.03</w:t>
            </w:r>
          </w:p>
        </w:tc>
        <w:tc>
          <w:tcPr>
            <w:tcW w:w="89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4.03</w:t>
            </w:r>
          </w:p>
        </w:tc>
        <w:tc>
          <w:tcPr>
            <w:tcW w:w="932"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4.03</w:t>
            </w:r>
          </w:p>
        </w:tc>
        <w:tc>
          <w:tcPr>
            <w:tcW w:w="118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4.03</w:t>
            </w:r>
          </w:p>
        </w:tc>
        <w:tc>
          <w:tcPr>
            <w:tcW w:w="948" w:type="dxa"/>
            <w:vAlign w:val="center"/>
          </w:tcPr>
          <w:p>
            <w:pPr>
              <w:keepNext w:val="0"/>
              <w:keepLines w:val="0"/>
              <w:suppressLineNumbers w:val="0"/>
              <w:bidi/>
              <w:adjustRightInd w:val="0"/>
              <w:snapToGrid w:val="0"/>
              <w:spacing w:before="0" w:beforeAutospacing="0" w:after="0" w:afterAutospacing="0" w:line="320" w:lineRule="exact"/>
              <w:ind w:left="0" w:right="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4.03</w:t>
            </w:r>
          </w:p>
        </w:tc>
        <w:tc>
          <w:tcPr>
            <w:tcW w:w="919" w:type="dxa"/>
            <w:vAlign w:val="center"/>
          </w:tcPr>
          <w:p>
            <w:pPr>
              <w:keepNext w:val="0"/>
              <w:keepLines w:val="0"/>
              <w:suppressLineNumbers w:val="0"/>
              <w:adjustRightInd w:val="0"/>
              <w:snapToGrid w:val="0"/>
              <w:spacing w:before="0" w:beforeAutospacing="0" w:after="0" w:afterAutospacing="0" w:line="320" w:lineRule="exact"/>
              <w:ind w:left="420" w:right="0" w:hanging="400" w:hangingChars="200"/>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达到要求</w:t>
            </w:r>
          </w:p>
        </w:tc>
        <w:tc>
          <w:tcPr>
            <w:tcW w:w="81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约束性</w:t>
            </w:r>
          </w:p>
        </w:tc>
        <w:tc>
          <w:tcPr>
            <w:tcW w:w="1240"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bidi="ar"/>
              </w:rPr>
              <w:t>区农业农村局</w:t>
            </w:r>
          </w:p>
        </w:tc>
      </w:tr>
    </w:tbl>
    <w:p>
      <w:pPr>
        <w:keepNext/>
        <w:keepLines/>
        <w:spacing w:line="579" w:lineRule="auto"/>
        <w:rPr>
          <w:rFonts w:eastAsia="方正仿宋简体" w:cs="方正仿宋简体"/>
          <w:sz w:val="32"/>
          <w:szCs w:val="32"/>
        </w:rPr>
      </w:pPr>
    </w:p>
    <w:p>
      <w:pPr>
        <w:rPr>
          <w:rFonts w:eastAsia="方正仿宋简体" w:cs="方正仿宋简体"/>
        </w:rPr>
      </w:pPr>
    </w:p>
    <w:p>
      <w:pPr>
        <w:pStyle w:val="2"/>
        <w:spacing w:before="0" w:after="0" w:line="580" w:lineRule="exact"/>
        <w:rPr>
          <w:rFonts w:eastAsia="方正仿宋简体" w:cs="方正仿宋简体"/>
          <w:b w:val="0"/>
          <w:sz w:val="32"/>
          <w:szCs w:val="32"/>
        </w:rPr>
        <w:sectPr>
          <w:footerReference r:id="rId7" w:type="default"/>
          <w:pgSz w:w="16838" w:h="11906" w:orient="landscape"/>
          <w:pgMar w:top="1418" w:right="1814" w:bottom="1418" w:left="1474" w:header="851" w:footer="992" w:gutter="0"/>
          <w:cols w:space="720" w:num="1"/>
          <w:docGrid w:type="lines" w:linePitch="312" w:charSpace="0"/>
        </w:sectPr>
      </w:pPr>
    </w:p>
    <w:p>
      <w:pPr>
        <w:pStyle w:val="2"/>
        <w:spacing w:before="0" w:after="0" w:line="580" w:lineRule="exact"/>
        <w:rPr>
          <w:rFonts w:hint="eastAsia" w:ascii="黑体" w:hAnsi="黑体" w:eastAsia="黑体" w:cs="黑体"/>
          <w:b w:val="0"/>
          <w:sz w:val="32"/>
          <w:szCs w:val="32"/>
        </w:rPr>
      </w:pPr>
      <w:bookmarkStart w:id="92" w:name="_Toc25183"/>
      <w:bookmarkStart w:id="93" w:name="_Toc6159"/>
      <w:bookmarkStart w:id="94" w:name="_Toc15908"/>
      <w:bookmarkStart w:id="95" w:name="_Toc145087784"/>
      <w:bookmarkStart w:id="96" w:name="_Toc27287"/>
      <w:bookmarkStart w:id="97" w:name="_Toc9428"/>
      <w:bookmarkStart w:id="98" w:name="_Toc24396"/>
      <w:r>
        <w:rPr>
          <w:rFonts w:hint="eastAsia" w:ascii="黑体" w:hAnsi="黑体" w:eastAsia="黑体" w:cs="黑体"/>
          <w:b w:val="0"/>
          <w:bCs w:val="0"/>
          <w:sz w:val="32"/>
          <w:szCs w:val="32"/>
        </w:rPr>
        <w:t>附表</w:t>
      </w:r>
      <w:bookmarkEnd w:id="92"/>
      <w:bookmarkEnd w:id="93"/>
      <w:r>
        <w:rPr>
          <w:rFonts w:hint="eastAsia" w:ascii="黑体" w:hAnsi="黑体" w:eastAsia="黑体" w:cs="黑体"/>
          <w:b w:val="0"/>
          <w:bCs w:val="0"/>
          <w:sz w:val="32"/>
          <w:szCs w:val="32"/>
        </w:rPr>
        <w:t xml:space="preserve">2  </w:t>
      </w:r>
      <w:bookmarkEnd w:id="94"/>
      <w:r>
        <w:rPr>
          <w:rFonts w:hint="eastAsia" w:ascii="黑体" w:hAnsi="黑体" w:eastAsia="黑体" w:cs="黑体"/>
          <w:b w:val="0"/>
          <w:bCs w:val="0"/>
          <w:sz w:val="32"/>
          <w:szCs w:val="32"/>
          <w:lang w:val="en-US" w:eastAsia="zh-CN"/>
        </w:rPr>
        <w:t xml:space="preserve">             </w:t>
      </w:r>
      <w:r>
        <w:rPr>
          <w:rFonts w:hint="eastAsia" w:ascii="黑体" w:hAnsi="黑体" w:eastAsia="黑体" w:cs="黑体"/>
          <w:b w:val="0"/>
          <w:sz w:val="32"/>
          <w:szCs w:val="32"/>
        </w:rPr>
        <w:t>宁波市“十四五”规划涉及奉化重点事项及项目</w:t>
      </w:r>
      <w:bookmarkEnd w:id="95"/>
      <w:bookmarkEnd w:id="96"/>
      <w:bookmarkEnd w:id="97"/>
      <w:bookmarkEnd w:id="98"/>
    </w:p>
    <w:tbl>
      <w:tblPr>
        <w:tblStyle w:val="20"/>
        <w:tblW w:w="14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038"/>
        <w:gridCol w:w="5947"/>
        <w:gridCol w:w="4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trPr>
        <w:tc>
          <w:tcPr>
            <w:tcW w:w="858" w:type="dxa"/>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cs="宋体"/>
                <w:b/>
                <w:bCs/>
                <w:szCs w:val="21"/>
              </w:rPr>
            </w:pPr>
            <w:r>
              <w:rPr>
                <w:rFonts w:hint="eastAsia" w:cs="宋体"/>
                <w:b/>
                <w:bCs/>
                <w:szCs w:val="21"/>
              </w:rPr>
              <w:t>序号</w:t>
            </w: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cs="宋体"/>
                <w:b/>
                <w:bCs/>
                <w:szCs w:val="21"/>
              </w:rPr>
            </w:pPr>
            <w:r>
              <w:rPr>
                <w:rFonts w:hint="eastAsia" w:cs="宋体"/>
                <w:b/>
                <w:bCs/>
                <w:szCs w:val="21"/>
              </w:rPr>
              <w:t>具体内容</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cs="宋体"/>
                <w:b/>
                <w:bCs/>
                <w:szCs w:val="21"/>
              </w:rPr>
            </w:pPr>
            <w:r>
              <w:rPr>
                <w:rFonts w:hint="eastAsia" w:cs="宋体"/>
                <w:b/>
                <w:bCs/>
                <w:szCs w:val="21"/>
              </w:rPr>
              <w:t>实施以来建设情况</w:t>
            </w:r>
          </w:p>
        </w:tc>
        <w:tc>
          <w:tcPr>
            <w:tcW w:w="4050" w:type="dxa"/>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cs="宋体"/>
                <w:b/>
                <w:bCs/>
                <w:szCs w:val="21"/>
              </w:rPr>
            </w:pPr>
            <w:r>
              <w:rPr>
                <w:rFonts w:hint="eastAsia" w:cs="宋体"/>
                <w:b/>
                <w:bCs/>
                <w:szCs w:val="21"/>
              </w:rPr>
              <w:t>下一步工作计划</w:t>
            </w: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cs="宋体"/>
                <w:b/>
                <w:bCs/>
                <w:szCs w:val="21"/>
              </w:rPr>
            </w:pPr>
            <w:r>
              <w:rPr>
                <w:rFonts w:hint="eastAsia" w:cs="宋体"/>
                <w:b/>
                <w:bCs/>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精品建设奉化宁南重点板块</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推动宁南产业园、宁波生命科学城、中交未来城三大开发板块一体化发展，成功获评省现代服务业创新发展区。宁南产业园建成智能家居产业园、智慧物流产业园等园中园，10个项目投入运营；宁波生命科学城引进落地奉盛健康医养中心、金茂商业酒店综合体等7个产业项目，中交未来城引进中交壹里科创云廊、联东U谷·宁波中交科技产业园等5个产业项目平台载体。城市公共服务功能加快完善，宁波市第一医院方桥院区、上海师范附属宁波实验学校等标志性项目建成运行，汇诚路、儒江路等33条交通主次干道完工，累计建成“桂苑”“紫薇苑”等安置小区5个，宁波农副产品物流中心项目入选国家骨干冷链物流基地建设名单。</w:t>
            </w:r>
          </w:p>
        </w:tc>
        <w:tc>
          <w:tcPr>
            <w:tcW w:w="4050"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提升新城烟火人气，紧扣新城引流、人气提升、烟火集聚的城市发展主题，完善城市生活圈打造，结合金茂中心湖“精灵鸟”公园、中交滨江公园等公园水系绿地，积极打造城市郊区休闲娱乐、青年社区、露营聚会、儿童嬉戏玩乐网红点。依托宁波市第一医院，以及即将启动建设的宁大医学院项目，将宁南新城作为</w:t>
            </w:r>
            <w:r>
              <w:rPr>
                <w:rFonts w:hint="eastAsia" w:cs="宋体"/>
                <w:kern w:val="0"/>
                <w:szCs w:val="21"/>
                <w:lang w:eastAsia="zh-CN" w:bidi="ar"/>
              </w:rPr>
              <w:t>宁波枢纽</w:t>
            </w:r>
            <w:r>
              <w:rPr>
                <w:rFonts w:hint="eastAsia" w:cs="宋体"/>
                <w:kern w:val="0"/>
                <w:szCs w:val="21"/>
                <w:lang w:bidi="ar"/>
              </w:rPr>
              <w:t>生命健康板块的核心，逐步落地宁波健康医养中心、MAH持证平台等健康医养产业，引进医疗健康上下游产业。</w:t>
            </w: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宁南新城管理中心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高起点谋划宁波湾区域发展，加快配套完善、功能提升和人口集聚</w:t>
            </w:r>
          </w:p>
        </w:tc>
        <w:tc>
          <w:tcPr>
            <w:tcW w:w="5947" w:type="dxa"/>
            <w:vMerge w:val="restart"/>
            <w:shd w:val="clear" w:color="auto" w:fill="auto"/>
            <w:vAlign w:val="center"/>
          </w:tcPr>
          <w:p>
            <w:pPr>
              <w:keepNext w:val="0"/>
              <w:keepLines w:val="0"/>
              <w:suppressLineNumbers w:val="0"/>
              <w:spacing w:before="0" w:beforeAutospacing="0" w:after="0" w:afterAutospacing="0" w:line="360" w:lineRule="exact"/>
              <w:ind w:left="0" w:right="0"/>
              <w:jc w:val="left"/>
              <w:rPr>
                <w:rFonts w:hint="default" w:cs="宋体"/>
                <w:kern w:val="0"/>
                <w:szCs w:val="21"/>
                <w:lang w:bidi="ar"/>
              </w:rPr>
            </w:pPr>
            <w:r>
              <w:rPr>
                <w:rFonts w:hint="eastAsia" w:cs="宋体"/>
                <w:szCs w:val="21"/>
              </w:rPr>
              <w:t>东部松岙新城建设快速推进，初具雏形；西部莼湖制造业园区转型升级迅速，高质量发展集中展现；中部裘村“+旅游”服务业集聚区打造亮点突出，区域客厅的基础呈现。以“生命健康”为龙头，运动休闲、文化旅游、滨海度假为特色服务业的区域新兴产业体系逐步构建，滨海新城和旅游度假区两大平台实际综合投资超130亿，重点推进度假区“十大标志性项目”建设，发挥华侨城“欢乐滨海”等重大项目的引领作用，成为网红打卡地。中国皮划艇协会总部基地和国家训练中心落户，天妃湖水上运动基地初具雏形，开放帆船、桨板、摩托艇等各类水上运动体验活动。</w:t>
            </w:r>
          </w:p>
        </w:tc>
        <w:tc>
          <w:tcPr>
            <w:tcW w:w="4050" w:type="dxa"/>
            <w:vMerge w:val="restart"/>
            <w:shd w:val="clear" w:color="auto" w:fill="auto"/>
            <w:vAlign w:val="center"/>
          </w:tcPr>
          <w:p>
            <w:pPr>
              <w:keepNext w:val="0"/>
              <w:keepLines w:val="0"/>
              <w:suppressLineNumbers w:val="0"/>
              <w:spacing w:before="0" w:beforeAutospacing="0" w:after="0" w:afterAutospacing="0" w:line="360" w:lineRule="exact"/>
              <w:ind w:left="0" w:right="0"/>
              <w:jc w:val="left"/>
              <w:rPr>
                <w:rFonts w:hint="default" w:cs="宋体"/>
                <w:kern w:val="0"/>
                <w:szCs w:val="21"/>
                <w:lang w:bidi="ar"/>
              </w:rPr>
            </w:pPr>
            <w:r>
              <w:rPr>
                <w:rFonts w:hint="eastAsia" w:cs="宋体"/>
                <w:szCs w:val="21"/>
              </w:rPr>
              <w:t>坚持高质量发展，加快项目投资，围绕打造“未来产业新高地”“文化旅游新标杆”目标，全力解难题促进度，以一流的服务能力推动项目引进和落地建设；坚持高品质培树，强化品牌建设，突出度假区建设引领，持续打响区域知名度与美誉度，以更大力度推动“宁波湾˙奉化玩”品牌建设。</w:t>
            </w: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滨海旅游区管理中心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全力打造宁波湾滨海休闲旅游区</w:t>
            </w:r>
          </w:p>
        </w:tc>
        <w:tc>
          <w:tcPr>
            <w:tcW w:w="5947" w:type="dxa"/>
            <w:vMerge w:val="continue"/>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p>
        </w:tc>
        <w:tc>
          <w:tcPr>
            <w:tcW w:w="4050" w:type="dxa"/>
            <w:vMerge w:val="continue"/>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滨海旅游区管理中心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谋划建设中心城区至奉化滨海的快速通道</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奉莼二通道正在开展方案研究。</w:t>
            </w:r>
          </w:p>
        </w:tc>
        <w:tc>
          <w:tcPr>
            <w:tcW w:w="4050"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加快深化方案研究，力争十四五期间基本完成前期工作并落地。</w:t>
            </w: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甬台温高速拓宽工程</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方门大桥节点已开工建设。</w:t>
            </w:r>
          </w:p>
        </w:tc>
        <w:tc>
          <w:tcPr>
            <w:tcW w:w="4050"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由市高指中心统筹推进，我区做好配合推进工作。</w:t>
            </w: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机场快速路南延工程北段（鄞州大道－奉化岳林东路）</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完成。</w:t>
            </w:r>
          </w:p>
        </w:tc>
        <w:tc>
          <w:tcPr>
            <w:tcW w:w="4050"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rPr>
            </w:pPr>
            <w:r>
              <w:rPr>
                <w:rFonts w:hint="eastAsia" w:cs="宋体"/>
                <w:kern w:val="0"/>
                <w:szCs w:val="21"/>
                <w:lang w:bidi="ar"/>
              </w:rPr>
              <w:t>全力打造溪口－滕头全国一流景区</w:t>
            </w:r>
          </w:p>
        </w:tc>
        <w:tc>
          <w:tcPr>
            <w:tcW w:w="5947" w:type="dxa"/>
            <w:vMerge w:val="restart"/>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shd w:val="clear" w:color="auto" w:fill="FFFFFF"/>
              </w:rPr>
              <w:t>溪口—滕头旅游景区积极完善旅游基础设施，丰富文旅业态，打造多元化消费场景。</w:t>
            </w:r>
            <w:r>
              <w:rPr>
                <w:rFonts w:hint="eastAsia" w:cs="宋体"/>
                <w:kern w:val="0"/>
                <w:szCs w:val="21"/>
                <w:lang w:bidi="ar"/>
              </w:rPr>
              <w:t>加快构建大名山发展格局，“一核一带两组团”名山格局基本形成，弥勒圣坛、永平寺、资福寺、</w:t>
            </w:r>
            <w:r>
              <w:rPr>
                <w:rFonts w:hint="eastAsia" w:cs="宋体"/>
                <w:kern w:val="0"/>
                <w:szCs w:val="21"/>
                <w:lang w:val="en-US" w:eastAsia="zh-CN" w:bidi="ar"/>
              </w:rPr>
              <w:t>浙江佛学院</w:t>
            </w:r>
            <w:r>
              <w:rPr>
                <w:rFonts w:hint="eastAsia" w:cs="宋体"/>
                <w:kern w:val="0"/>
                <w:szCs w:val="21"/>
                <w:lang w:bidi="ar"/>
              </w:rPr>
              <w:t>等名山建设项目建成投用，法华寺、东翠寺、瀑布院等寺院加快建设。开辟文旅开发新局面，“雪窦名山、溪口名镇”加快重塑，连续举办14届弥勒文化节，徐凫岩“玻璃栈道”“飞拉达”、商量岗“高山滑雪”“森林露营”等项目相继运营，应梦里、梦在武岭、杜鹃谷、蒋氏民国文化中心等新项目陆续开放，雪窦山和岩头村成功创建宁波市首批民宿产业集聚区，雪窦山景区成功获评全省首批“醉美景区”。</w:t>
            </w:r>
            <w:r>
              <w:rPr>
                <w:rFonts w:hint="eastAsia" w:asciiTheme="minorEastAsia" w:hAnsiTheme="minorEastAsia" w:eastAsiaTheme="minorEastAsia" w:cstheme="minorEastAsia"/>
                <w:szCs w:val="21"/>
                <w:shd w:val="clear" w:color="auto" w:fill="FFFFFF"/>
              </w:rPr>
              <w:t>滕头着力发挥省爱国主义教育基地、全国环境教育基地、国家级农业综合开发示范区的功效，通过游客中心、商业步行街改造提升，建成滕头乐园，让游客充分体验生态自然之美、农家风情之乐。</w:t>
            </w:r>
          </w:p>
        </w:tc>
        <w:tc>
          <w:tcPr>
            <w:tcW w:w="4050" w:type="dxa"/>
            <w:vMerge w:val="restart"/>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加快弥勒生态文旅业态布局，打响雪窦山中国佛教五大名山品牌，完善应梦里、弥勒圣坛、“梦在武岭”沉浸式体验等项目综合服务能力，拓展商量岗冰雪运动、雪窦山山地越野赛道、徐凫岩景区等户外运动基地外延。进一步发挥滕头村首批全国乡村旅游重点村的示范引领，溪口名山秀水自然禀赋的生态优势，重点推出度假禅养、民宿休闲、民俗餐饮、文化演艺等旅游产品，力争打造成为年接待游客超300万、其中过夜游客50万人次以上的高能级景区。</w:t>
            </w: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区文广旅体局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推进雪窦山中国佛教名山建设</w:t>
            </w:r>
          </w:p>
        </w:tc>
        <w:tc>
          <w:tcPr>
            <w:tcW w:w="5947" w:type="dxa"/>
            <w:vMerge w:val="continue"/>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p>
        </w:tc>
        <w:tc>
          <w:tcPr>
            <w:tcW w:w="4050" w:type="dxa"/>
            <w:vMerge w:val="continue"/>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rPr>
            </w:pPr>
            <w:r>
              <w:rPr>
                <w:rFonts w:hint="eastAsia"/>
              </w:rPr>
              <w:t>区文广旅体局名山建设管委会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方桥污水处理厂</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项目建议书以及项目批复已完成、选址已定。</w:t>
            </w:r>
          </w:p>
        </w:tc>
        <w:tc>
          <w:tcPr>
            <w:tcW w:w="4050"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积极配合宁波水务集团做好项目前期推进工作。</w:t>
            </w: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柏坑水库扩容工程</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先行工程完成80%，累计投资3.4亿元，主体工程完成施工招标，中标价5.07亿元，目前正在施工准备，土地报批资料自然资源部已受理，正在审批中。</w:t>
            </w:r>
          </w:p>
        </w:tc>
        <w:tc>
          <w:tcPr>
            <w:tcW w:w="4050"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主体工程于9月1日进场施工，计划年底前进行主坝坝基开挖和导截流验收。</w:t>
            </w: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柏坑水库指挥部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浙江佳境工业废弃物资源化利用与处置</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项目已完成建设，并于2021年底开始投入使用。</w:t>
            </w:r>
          </w:p>
        </w:tc>
        <w:tc>
          <w:tcPr>
            <w:tcW w:w="4050"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市第一医院异地建设（一期）项目</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宁波第一医院迁建工程已投入使用。</w:t>
            </w:r>
          </w:p>
        </w:tc>
        <w:tc>
          <w:tcPr>
            <w:tcW w:w="4050"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宁南新城管理中心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S203（奉化段）</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完成总量的63%，路基96%，路面11%。桥涵61%，长岙弄隧道开挖78%，岭西隧道开挖100%，累计完成投资20亿。</w:t>
            </w:r>
          </w:p>
        </w:tc>
        <w:tc>
          <w:tcPr>
            <w:tcW w:w="4050"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按计划在2024年6月项目整体完工。</w:t>
            </w: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区交投集团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S310（奉化段）</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完成项目总量的37%，路基87%，桥梁24%，涵洞100%，累计完成投资12亿元。</w:t>
            </w:r>
          </w:p>
        </w:tc>
        <w:tc>
          <w:tcPr>
            <w:tcW w:w="4050"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继续推进220KV和110KV电力线改迁工作，合理安排项目整体工期，争取项目2025年完工。</w:t>
            </w: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cs="宋体"/>
                <w:kern w:val="0"/>
                <w:szCs w:val="21"/>
                <w:lang w:bidi="ar"/>
              </w:rPr>
            </w:pPr>
            <w:r>
              <w:rPr>
                <w:rFonts w:hint="eastAsia" w:cs="宋体"/>
                <w:kern w:val="0"/>
                <w:szCs w:val="21"/>
                <w:lang w:bidi="ar"/>
              </w:rPr>
              <w:t>区交投集团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58" w:type="dxa"/>
            <w:shd w:val="clear" w:color="auto" w:fill="auto"/>
            <w:vAlign w:val="center"/>
          </w:tcPr>
          <w:p>
            <w:pPr>
              <w:keepNext w:val="0"/>
              <w:keepLines w:val="0"/>
              <w:numPr>
                <w:ilvl w:val="0"/>
                <w:numId w:val="2"/>
              </w:numPr>
              <w:suppressLineNumbers w:val="0"/>
              <w:spacing w:before="0" w:beforeAutospacing="0" w:after="0" w:afterAutospacing="0"/>
              <w:ind w:right="-63" w:rightChars="-30"/>
              <w:jc w:val="center"/>
              <w:rPr>
                <w:rFonts w:hint="default" w:cs="宋体"/>
                <w:szCs w:val="21"/>
              </w:rPr>
            </w:pPr>
          </w:p>
        </w:tc>
        <w:tc>
          <w:tcPr>
            <w:tcW w:w="2038" w:type="dxa"/>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cs="宋体"/>
                <w:kern w:val="0"/>
                <w:szCs w:val="21"/>
                <w:lang w:bidi="ar"/>
              </w:rPr>
            </w:pPr>
            <w:r>
              <w:rPr>
                <w:rFonts w:hint="eastAsia" w:cs="宋体"/>
                <w:kern w:val="0"/>
                <w:szCs w:val="21"/>
                <w:lang w:bidi="ar"/>
              </w:rPr>
              <w:t>争办世界佛教论坛</w:t>
            </w:r>
          </w:p>
        </w:tc>
        <w:tc>
          <w:tcPr>
            <w:tcW w:w="5947" w:type="dxa"/>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hint="default" w:cs="宋体"/>
                <w:kern w:val="0"/>
                <w:szCs w:val="21"/>
                <w:lang w:bidi="ar"/>
              </w:rPr>
            </w:pPr>
            <w:r>
              <w:rPr>
                <w:rFonts w:hint="eastAsia" w:cs="宋体"/>
                <w:kern w:val="0"/>
                <w:szCs w:val="21"/>
                <w:lang w:bidi="ar"/>
              </w:rPr>
              <w:t>作为论坛主会场的“弥勒文化园”已经基本建成，其他相关场所和设施也陆续升级完善，区级层面制定了申办第六届世界佛教论坛筹备工作方案，并建立了相应的工作组织架构，开展申办筹备前期工作。</w:t>
            </w:r>
          </w:p>
        </w:tc>
        <w:tc>
          <w:tcPr>
            <w:tcW w:w="4050" w:type="dxa"/>
            <w:shd w:val="clear" w:color="auto" w:fill="auto"/>
            <w:vAlign w:val="center"/>
          </w:tcPr>
          <w:p>
            <w:pPr>
              <w:keepNext w:val="0"/>
              <w:keepLines w:val="0"/>
              <w:widowControl/>
              <w:suppressLineNumbers w:val="0"/>
              <w:spacing w:before="0" w:beforeAutospacing="0" w:after="0" w:afterAutospacing="0"/>
              <w:ind w:left="0" w:right="0"/>
              <w:rPr>
                <w:rFonts w:hint="default" w:cs="宋体"/>
                <w:kern w:val="0"/>
                <w:szCs w:val="21"/>
                <w:lang w:bidi="ar"/>
              </w:rPr>
            </w:pPr>
            <w:r>
              <w:rPr>
                <w:rFonts w:hint="eastAsia"/>
              </w:rPr>
              <w:t>积极向上争取，建议宁波市尽快成立第六届世界佛教论坛申报工作领导小组，在市级层面加强统筹领导。</w:t>
            </w:r>
          </w:p>
        </w:tc>
        <w:tc>
          <w:tcPr>
            <w:tcW w:w="1365" w:type="dxa"/>
            <w:shd w:val="clear" w:color="auto" w:fill="auto"/>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default"/>
              </w:rPr>
            </w:pPr>
            <w:r>
              <w:rPr>
                <w:rFonts w:hint="eastAsia"/>
              </w:rPr>
              <w:t>区委统战部</w:t>
            </w:r>
          </w:p>
          <w:p>
            <w:pPr>
              <w:pStyle w:val="34"/>
              <w:keepNext w:val="0"/>
              <w:keepLines w:val="0"/>
              <w:suppressLineNumbers w:val="0"/>
              <w:spacing w:before="0" w:beforeAutospacing="0" w:after="0" w:afterAutospacing="0"/>
              <w:ind w:left="0" w:right="0" w:firstLine="210" w:firstLineChars="100"/>
              <w:rPr>
                <w:rFonts w:hint="default" w:ascii="Times New Roman" w:hAnsi="Times New Roman"/>
              </w:rPr>
            </w:pPr>
            <w:r>
              <w:rPr>
                <w:rFonts w:hint="eastAsia" w:ascii="Times New Roman" w:hAnsi="Times New Roman" w:cs="宋体"/>
                <w:kern w:val="0"/>
                <w:szCs w:val="21"/>
                <w:lang w:bidi="ar"/>
              </w:rPr>
              <w:t>溪口镇</w:t>
            </w:r>
          </w:p>
        </w:tc>
      </w:tr>
    </w:tbl>
    <w:p>
      <w:pPr>
        <w:spacing w:line="580" w:lineRule="exact"/>
        <w:jc w:val="center"/>
        <w:rPr>
          <w:rFonts w:eastAsia="方正仿宋简体" w:cs="方正仿宋简体"/>
          <w:bCs/>
          <w:kern w:val="44"/>
          <w:sz w:val="32"/>
          <w:szCs w:val="32"/>
        </w:rPr>
        <w:sectPr>
          <w:footerReference r:id="rId8" w:type="default"/>
          <w:pgSz w:w="16838" w:h="11906" w:orient="landscape"/>
          <w:pgMar w:top="1797" w:right="1440" w:bottom="1797" w:left="1440" w:header="851" w:footer="992" w:gutter="0"/>
          <w:cols w:space="720" w:num="1"/>
          <w:docGrid w:type="lines" w:linePitch="312" w:charSpace="0"/>
        </w:sectPr>
      </w:pPr>
    </w:p>
    <w:p>
      <w:pPr>
        <w:keepNext/>
        <w:keepLines/>
        <w:spacing w:line="580" w:lineRule="exact"/>
        <w:outlineLvl w:val="0"/>
        <w:rPr>
          <w:rFonts w:hint="eastAsia" w:ascii="黑体" w:hAnsi="黑体" w:eastAsia="黑体" w:cs="黑体"/>
          <w:bCs/>
          <w:sz w:val="32"/>
          <w:szCs w:val="32"/>
        </w:rPr>
      </w:pPr>
      <w:bookmarkStart w:id="99" w:name="_Toc20297"/>
      <w:bookmarkStart w:id="100" w:name="_Toc18140"/>
      <w:bookmarkStart w:id="101" w:name="_Toc30019"/>
      <w:bookmarkStart w:id="102" w:name="_Toc145087785"/>
      <w:r>
        <w:rPr>
          <w:rFonts w:hint="eastAsia" w:ascii="黑体" w:hAnsi="黑体" w:eastAsia="黑体" w:cs="黑体"/>
          <w:kern w:val="44"/>
          <w:sz w:val="32"/>
          <w:szCs w:val="32"/>
        </w:rPr>
        <w:t xml:space="preserve">附表3  </w:t>
      </w:r>
      <w:r>
        <w:rPr>
          <w:rFonts w:hint="eastAsia" w:ascii="黑体" w:hAnsi="黑体" w:eastAsia="黑体" w:cs="黑体"/>
          <w:kern w:val="44"/>
          <w:sz w:val="32"/>
          <w:szCs w:val="32"/>
          <w:lang w:val="en-US" w:eastAsia="zh-CN"/>
        </w:rPr>
        <w:t xml:space="preserve">                      </w:t>
      </w:r>
      <w:r>
        <w:rPr>
          <w:rFonts w:hint="eastAsia" w:ascii="黑体" w:hAnsi="黑体" w:eastAsia="黑体" w:cs="黑体"/>
          <w:kern w:val="44"/>
          <w:sz w:val="32"/>
          <w:szCs w:val="32"/>
        </w:rPr>
        <w:t>新增亿元以上重大项目（实施类）</w:t>
      </w:r>
      <w:bookmarkEnd w:id="99"/>
      <w:bookmarkEnd w:id="100"/>
      <w:bookmarkEnd w:id="101"/>
    </w:p>
    <w:tbl>
      <w:tblPr>
        <w:tblStyle w:val="19"/>
        <w:tblW w:w="14171" w:type="dxa"/>
        <w:tblInd w:w="0" w:type="dxa"/>
        <w:tblLayout w:type="fixed"/>
        <w:tblCellMar>
          <w:top w:w="0" w:type="dxa"/>
          <w:left w:w="108" w:type="dxa"/>
          <w:bottom w:w="0" w:type="dxa"/>
          <w:right w:w="108" w:type="dxa"/>
        </w:tblCellMar>
      </w:tblPr>
      <w:tblGrid>
        <w:gridCol w:w="819"/>
        <w:gridCol w:w="2006"/>
        <w:gridCol w:w="1156"/>
        <w:gridCol w:w="4407"/>
        <w:gridCol w:w="982"/>
        <w:gridCol w:w="1473"/>
        <w:gridCol w:w="2029"/>
        <w:gridCol w:w="1299"/>
      </w:tblGrid>
      <w:tr>
        <w:tblPrEx>
          <w:tblCellMar>
            <w:top w:w="0" w:type="dxa"/>
            <w:left w:w="108" w:type="dxa"/>
            <w:bottom w:w="0" w:type="dxa"/>
            <w:right w:w="108" w:type="dxa"/>
          </w:tblCellMar>
        </w:tblPrEx>
        <w:trPr>
          <w:trHeight w:val="90" w:hRule="atLeast"/>
          <w:tblHeader/>
        </w:trPr>
        <w:tc>
          <w:tcPr>
            <w:tcW w:w="81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序号</w:t>
            </w:r>
          </w:p>
        </w:tc>
        <w:tc>
          <w:tcPr>
            <w:tcW w:w="20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项目名称</w:t>
            </w:r>
          </w:p>
        </w:tc>
        <w:tc>
          <w:tcPr>
            <w:tcW w:w="1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建设起止</w:t>
            </w:r>
            <w:r>
              <w:rPr>
                <w:rFonts w:hint="eastAsia" w:cs="宋体"/>
                <w:b/>
                <w:bCs/>
                <w:color w:val="000000"/>
                <w:kern w:val="0"/>
                <w:sz w:val="20"/>
                <w:szCs w:val="20"/>
                <w:lang w:bidi="ar"/>
              </w:rPr>
              <w:br w:type="textWrapping"/>
            </w:r>
            <w:r>
              <w:rPr>
                <w:rFonts w:hint="eastAsia" w:cs="宋体"/>
                <w:b/>
                <w:bCs/>
                <w:color w:val="000000"/>
                <w:kern w:val="0"/>
                <w:sz w:val="20"/>
                <w:szCs w:val="20"/>
                <w:lang w:bidi="ar"/>
              </w:rPr>
              <w:t>年限</w:t>
            </w:r>
          </w:p>
        </w:tc>
        <w:tc>
          <w:tcPr>
            <w:tcW w:w="440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建设规模与主要建设内容</w:t>
            </w:r>
          </w:p>
        </w:tc>
        <w:tc>
          <w:tcPr>
            <w:tcW w:w="9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总投资</w:t>
            </w:r>
          </w:p>
        </w:tc>
        <w:tc>
          <w:tcPr>
            <w:tcW w:w="3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预计“十四五”末项目进展情况</w:t>
            </w:r>
          </w:p>
        </w:tc>
        <w:tc>
          <w:tcPr>
            <w:tcW w:w="12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责任单位</w:t>
            </w:r>
          </w:p>
        </w:tc>
      </w:tr>
      <w:tr>
        <w:tblPrEx>
          <w:tblCellMar>
            <w:top w:w="0" w:type="dxa"/>
            <w:left w:w="108" w:type="dxa"/>
            <w:bottom w:w="0" w:type="dxa"/>
            <w:right w:w="108" w:type="dxa"/>
          </w:tblCellMar>
        </w:tblPrEx>
        <w:trPr>
          <w:trHeight w:val="565" w:hRule="atLeast"/>
          <w:tblHeader/>
        </w:trPr>
        <w:tc>
          <w:tcPr>
            <w:tcW w:w="8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20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44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default" w:cs="宋体"/>
                <w:b/>
                <w:bCs/>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“十四五”完成投资（亿元）</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kern w:val="0"/>
                <w:sz w:val="20"/>
                <w:szCs w:val="20"/>
                <w:lang w:bidi="ar"/>
              </w:rPr>
            </w:pPr>
            <w:r>
              <w:rPr>
                <w:rFonts w:hint="eastAsia" w:cs="宋体"/>
                <w:b/>
                <w:bCs/>
                <w:color w:val="000000"/>
                <w:kern w:val="0"/>
                <w:sz w:val="20"/>
                <w:szCs w:val="20"/>
                <w:lang w:bidi="ar"/>
              </w:rPr>
              <w:t>至2025年底</w:t>
            </w:r>
          </w:p>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项目进展</w:t>
            </w:r>
          </w:p>
        </w:tc>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r>
      <w:tr>
        <w:tblPrEx>
          <w:tblCellMar>
            <w:top w:w="0" w:type="dxa"/>
            <w:left w:w="108" w:type="dxa"/>
            <w:bottom w:w="0" w:type="dxa"/>
            <w:right w:w="108" w:type="dxa"/>
          </w:tblCellMar>
        </w:tblPrEx>
        <w:trPr>
          <w:trHeight w:val="450" w:hRule="atLeast"/>
        </w:trPr>
        <w:tc>
          <w:tcPr>
            <w:tcW w:w="838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b/>
                <w:bCs/>
                <w:color w:val="000000"/>
                <w:sz w:val="20"/>
                <w:szCs w:val="20"/>
              </w:rPr>
            </w:pPr>
            <w:r>
              <w:rPr>
                <w:rFonts w:hint="eastAsia" w:cs="宋体"/>
                <w:b/>
                <w:bCs/>
                <w:color w:val="000000"/>
                <w:kern w:val="0"/>
                <w:sz w:val="20"/>
                <w:szCs w:val="20"/>
                <w:lang w:bidi="ar"/>
              </w:rPr>
              <w:t>一、新增在建及完工项目</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83.</w:t>
            </w:r>
            <w:r>
              <w:rPr>
                <w:rFonts w:hint="eastAsia" w:cs="宋体"/>
                <w:b/>
                <w:bCs/>
                <w:color w:val="000000"/>
                <w:kern w:val="0"/>
                <w:sz w:val="20"/>
                <w:szCs w:val="20"/>
                <w:lang w:val="en-US" w:eastAsia="zh-CN" w:bidi="ar"/>
              </w:rPr>
              <w:t>5</w:t>
            </w:r>
            <w:r>
              <w:rPr>
                <w:rFonts w:hint="eastAsia" w:cs="宋体"/>
                <w:b/>
                <w:bCs/>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5</w:t>
            </w:r>
            <w:r>
              <w:rPr>
                <w:rFonts w:hint="eastAsia" w:cs="宋体"/>
                <w:b/>
                <w:bCs/>
                <w:color w:val="000000"/>
                <w:kern w:val="0"/>
                <w:sz w:val="20"/>
                <w:szCs w:val="20"/>
                <w:lang w:val="en-US" w:eastAsia="zh-CN" w:bidi="ar"/>
              </w:rPr>
              <w:t>3.8</w:t>
            </w:r>
            <w:r>
              <w:rPr>
                <w:rFonts w:hint="eastAsia" w:cs="宋体"/>
                <w:b/>
                <w:bCs/>
                <w:color w:val="000000"/>
                <w:kern w:val="0"/>
                <w:sz w:val="20"/>
                <w:szCs w:val="20"/>
                <w:lang w:bidi="ar"/>
              </w:rPr>
              <w:t xml:space="preserve">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color w:val="000000"/>
                <w:sz w:val="20"/>
                <w:szCs w:val="20"/>
              </w:rPr>
            </w:pPr>
          </w:p>
        </w:tc>
        <w:tc>
          <w:tcPr>
            <w:tcW w:w="1299"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r>
      <w:tr>
        <w:tblPrEx>
          <w:tblCellMar>
            <w:top w:w="0" w:type="dxa"/>
            <w:left w:w="108" w:type="dxa"/>
            <w:bottom w:w="0" w:type="dxa"/>
            <w:right w:w="108" w:type="dxa"/>
          </w:tblCellMar>
        </w:tblPrEx>
        <w:trPr>
          <w:trHeight w:val="45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（一）</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现代产业</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default" w:cs="宋体"/>
                <w:b/>
                <w:bCs/>
                <w:color w:val="000000"/>
                <w:sz w:val="20"/>
                <w:szCs w:val="20"/>
              </w:rPr>
            </w:pP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val="en-US" w:eastAsia="zh-CN" w:bidi="ar"/>
              </w:rPr>
              <w:t>62.4</w:t>
            </w:r>
            <w:r>
              <w:rPr>
                <w:rFonts w:hint="eastAsia" w:cs="宋体"/>
                <w:b/>
                <w:bCs/>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val="en-US" w:eastAsia="zh-CN" w:bidi="ar"/>
              </w:rPr>
              <w:t>33.7</w:t>
            </w:r>
            <w:r>
              <w:rPr>
                <w:rFonts w:hint="eastAsia" w:cs="宋体"/>
                <w:b/>
                <w:bCs/>
                <w:color w:val="000000"/>
                <w:kern w:val="0"/>
                <w:sz w:val="20"/>
                <w:szCs w:val="20"/>
                <w:lang w:bidi="ar"/>
              </w:rPr>
              <w:t xml:space="preserve">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color w:val="000000"/>
                <w:sz w:val="20"/>
                <w:szCs w:val="20"/>
              </w:rPr>
            </w:pPr>
          </w:p>
        </w:tc>
        <w:tc>
          <w:tcPr>
            <w:tcW w:w="1299"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r>
      <w:tr>
        <w:tblPrEx>
          <w:tblCellMar>
            <w:top w:w="0" w:type="dxa"/>
            <w:left w:w="108" w:type="dxa"/>
            <w:bottom w:w="0" w:type="dxa"/>
            <w:right w:w="108" w:type="dxa"/>
          </w:tblCellMar>
        </w:tblPrEx>
        <w:trPr>
          <w:trHeight w:val="210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大埠区块专业产业园及服务配套地块项目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2022-2026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项目总用地面积约116.7亩。建设内容为六个子项目一是服务配套用房（约13.5亩）；二是专业产业园（103.2亩）；三是电力及通信进线配套（启动段3.5公里）工程；四是电力及通信进线配套（贯通段6.5公里）工程；五是给水管线配套工程；六是土壤污染修复工程（中兴、青云、新星、明化、中部等5个地块约56.6亩）。</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13.3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5.0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除专业产业园以外的其他子项目竣工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工投集团</w:t>
            </w:r>
          </w:p>
        </w:tc>
      </w:tr>
      <w:tr>
        <w:tblPrEx>
          <w:tblCellMar>
            <w:top w:w="0" w:type="dxa"/>
            <w:left w:w="108" w:type="dxa"/>
            <w:bottom w:w="0" w:type="dxa"/>
            <w:right w:w="108" w:type="dxa"/>
          </w:tblCellMar>
        </w:tblPrEx>
        <w:trPr>
          <w:trHeight w:val="79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云上大堰－大堰乡村文化旅游设施改造提升工程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建设内容：游客服务中心、配套餐饮区、文化交流中心，大堰老街风貌提升，配套夜市区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文旅集团</w:t>
            </w:r>
            <w:r>
              <w:rPr>
                <w:rFonts w:hint="eastAsia" w:cs="宋体"/>
                <w:color w:val="000000"/>
                <w:kern w:val="0"/>
                <w:sz w:val="20"/>
                <w:szCs w:val="20"/>
                <w:lang w:bidi="ar"/>
              </w:rPr>
              <w:br w:type="textWrapping"/>
            </w:r>
            <w:r>
              <w:rPr>
                <w:rFonts w:hint="eastAsia" w:cs="宋体"/>
                <w:color w:val="000000"/>
                <w:kern w:val="0"/>
                <w:sz w:val="20"/>
                <w:szCs w:val="20"/>
                <w:lang w:bidi="ar"/>
              </w:rPr>
              <w:t>大堰镇政府</w:t>
            </w:r>
          </w:p>
        </w:tc>
      </w:tr>
      <w:tr>
        <w:tblPrEx>
          <w:tblCellMar>
            <w:top w:w="0" w:type="dxa"/>
            <w:left w:w="108" w:type="dxa"/>
            <w:bottom w:w="0" w:type="dxa"/>
            <w:right w:w="108" w:type="dxa"/>
          </w:tblCellMar>
        </w:tblPrEx>
        <w:trPr>
          <w:trHeight w:val="968"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3</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木家湾项目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该项目总投资约3.5亿元，木家湾村征收范围面积约200亩，133400平方米，项目规划用建设用地面积约21亩。打造一个以家·湾为中心的高端度假酒店，配套旅游观光、餐饮、泳池、禅修等基础配套设施的乡村体验于一体的乡村旅居集聚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3.5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3.0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溪口镇</w:t>
            </w:r>
            <w:r>
              <w:rPr>
                <w:rFonts w:hint="eastAsia" w:cs="宋体"/>
                <w:color w:val="000000"/>
                <w:kern w:val="0"/>
                <w:sz w:val="20"/>
                <w:szCs w:val="20"/>
                <w:lang w:bidi="ar"/>
              </w:rPr>
              <w:br w:type="textWrapping"/>
            </w:r>
            <w:r>
              <w:rPr>
                <w:rFonts w:hint="eastAsia" w:cs="宋体"/>
                <w:color w:val="000000"/>
                <w:kern w:val="0"/>
                <w:sz w:val="20"/>
                <w:szCs w:val="20"/>
                <w:lang w:bidi="ar"/>
              </w:rPr>
              <w:t>文旅集团</w:t>
            </w:r>
          </w:p>
        </w:tc>
      </w:tr>
      <w:tr>
        <w:tblPrEx>
          <w:tblCellMar>
            <w:top w:w="0" w:type="dxa"/>
            <w:left w:w="108" w:type="dxa"/>
            <w:bottom w:w="0" w:type="dxa"/>
            <w:right w:w="108" w:type="dxa"/>
          </w:tblCellMar>
        </w:tblPrEx>
        <w:trPr>
          <w:trHeight w:val="2662"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4</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环同山美丽乡村示范带建设项目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sz w:val="20"/>
                <w:szCs w:val="20"/>
                <w:lang w:val="en-US" w:eastAsia="zh-CN"/>
              </w:rPr>
              <w:t>以锦屏街道长岭村、西圃村为核心，主要包括：</w:t>
            </w:r>
            <w:r>
              <w:rPr>
                <w:rFonts w:hint="eastAsia" w:cs="宋体"/>
                <w:color w:val="000000"/>
                <w:sz w:val="20"/>
                <w:szCs w:val="20"/>
                <w:lang w:val="en-US" w:eastAsia="zh-CN"/>
              </w:rPr>
              <w:br w:type="textWrapping"/>
            </w:r>
            <w:r>
              <w:rPr>
                <w:rFonts w:hint="eastAsia" w:cs="宋体"/>
                <w:color w:val="000000"/>
                <w:sz w:val="20"/>
                <w:szCs w:val="20"/>
                <w:lang w:val="en-US" w:eastAsia="zh-CN"/>
              </w:rPr>
              <w:t>1.区块一位于九栋别墅区块占地面积约50亩.</w:t>
            </w:r>
            <w:r>
              <w:rPr>
                <w:rFonts w:hint="eastAsia" w:cs="宋体"/>
                <w:color w:val="000000"/>
                <w:sz w:val="20"/>
                <w:szCs w:val="20"/>
                <w:lang w:val="en-US" w:eastAsia="zh-CN"/>
              </w:rPr>
              <w:br w:type="textWrapping"/>
            </w:r>
            <w:r>
              <w:rPr>
                <w:rFonts w:hint="eastAsia" w:cs="宋体"/>
                <w:color w:val="000000"/>
                <w:sz w:val="20"/>
                <w:szCs w:val="20"/>
                <w:lang w:val="en-US" w:eastAsia="zh-CN"/>
              </w:rPr>
              <w:t>2.区块二位于西圃小学旧址、俞飞鹏故居、三栋违建房子地块占地面积约30亩.</w:t>
            </w:r>
            <w:r>
              <w:rPr>
                <w:rFonts w:hint="eastAsia" w:cs="宋体"/>
                <w:color w:val="000000"/>
                <w:sz w:val="20"/>
                <w:szCs w:val="20"/>
                <w:lang w:val="en-US" w:eastAsia="zh-CN"/>
              </w:rPr>
              <w:br w:type="textWrapping"/>
            </w:r>
            <w:r>
              <w:rPr>
                <w:rFonts w:hint="eastAsia" w:cs="宋体"/>
                <w:color w:val="000000"/>
                <w:sz w:val="20"/>
                <w:szCs w:val="20"/>
                <w:lang w:val="en-US" w:eastAsia="zh-CN"/>
              </w:rPr>
              <w:t>3.区块三位于公交西站南侧原交投集团地块（汽车维修厂）地块占地面积约36.77亩.</w:t>
            </w:r>
            <w:r>
              <w:rPr>
                <w:rFonts w:hint="eastAsia" w:cs="宋体"/>
                <w:color w:val="000000"/>
                <w:sz w:val="20"/>
                <w:szCs w:val="20"/>
                <w:lang w:val="en-US" w:eastAsia="zh-CN"/>
              </w:rPr>
              <w:br w:type="textWrapping"/>
            </w:r>
            <w:r>
              <w:rPr>
                <w:rFonts w:hint="eastAsia" w:cs="宋体"/>
                <w:color w:val="000000"/>
                <w:sz w:val="20"/>
                <w:szCs w:val="20"/>
                <w:lang w:val="en-US" w:eastAsia="zh-CN"/>
              </w:rPr>
              <w:t>4.奉化殡仪馆区块占地面积21亩.（城镇开发边界外）</w:t>
            </w:r>
            <w:r>
              <w:rPr>
                <w:rFonts w:hint="eastAsia" w:cs="宋体"/>
                <w:color w:val="000000"/>
                <w:sz w:val="20"/>
                <w:szCs w:val="20"/>
                <w:lang w:val="en-US" w:eastAsia="zh-CN"/>
              </w:rPr>
              <w:br w:type="textWrapping"/>
            </w:r>
            <w:r>
              <w:rPr>
                <w:rFonts w:hint="eastAsia" w:cs="宋体"/>
                <w:color w:val="000000"/>
                <w:sz w:val="20"/>
                <w:szCs w:val="20"/>
                <w:lang w:val="en-US" w:eastAsia="zh-CN"/>
              </w:rPr>
              <w:t>5.西圃共富村区块需建设用地约150亩.（城镇开发边界外）</w:t>
            </w:r>
            <w:r>
              <w:rPr>
                <w:rFonts w:hint="eastAsia" w:cs="宋体"/>
                <w:color w:val="000000"/>
                <w:sz w:val="20"/>
                <w:szCs w:val="20"/>
                <w:lang w:val="en-US" w:eastAsia="zh-CN"/>
              </w:rPr>
              <w:br w:type="textWrapping"/>
            </w:r>
            <w:r>
              <w:rPr>
                <w:rFonts w:hint="eastAsia" w:cs="宋体"/>
                <w:color w:val="000000"/>
                <w:sz w:val="20"/>
                <w:szCs w:val="20"/>
                <w:lang w:val="en-US" w:eastAsia="zh-CN"/>
              </w:rPr>
              <w:t>同山片区－西圃开发建设项目共五处地块分期开发建设充分利用现有资源，制定发展策略，按照4A级旅游景区要求，计划打造以宁波休闲都市概念为依托，布局旅游休闲功能、文化休闲功能、体育休闲功能及其他休闲功能的一个综合性文旅服务项目，来满足本地居民日常休闲需求和异地来客短期休闲需求所提供服务和作用。</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10.0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3.0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文旅集团</w:t>
            </w:r>
            <w:r>
              <w:rPr>
                <w:rFonts w:hint="eastAsia" w:cs="宋体"/>
                <w:color w:val="000000"/>
                <w:kern w:val="0"/>
                <w:sz w:val="20"/>
                <w:szCs w:val="20"/>
                <w:lang w:bidi="ar"/>
              </w:rPr>
              <w:br w:type="textWrapping"/>
            </w:r>
            <w:r>
              <w:rPr>
                <w:rFonts w:hint="eastAsia" w:cs="宋体"/>
                <w:color w:val="000000"/>
                <w:kern w:val="0"/>
                <w:sz w:val="20"/>
                <w:szCs w:val="20"/>
                <w:lang w:bidi="ar"/>
              </w:rPr>
              <w:t>锦屏街道</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5</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黄贤景区提升改造项目二期</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黄贤违建别墅区块后续开发利用，以及黄贤景区土楼及土楼接待中心等其他体验类业态设施设备提升改造项目</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7.1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开工建设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裘村镇</w:t>
            </w:r>
            <w:r>
              <w:rPr>
                <w:rFonts w:hint="eastAsia" w:cs="宋体"/>
                <w:color w:val="000000"/>
                <w:kern w:val="0"/>
                <w:sz w:val="20"/>
                <w:szCs w:val="20"/>
                <w:lang w:bidi="ar"/>
              </w:rPr>
              <w:br w:type="textWrapping"/>
            </w:r>
            <w:r>
              <w:rPr>
                <w:rFonts w:hint="eastAsia" w:cs="宋体"/>
                <w:color w:val="000000"/>
                <w:kern w:val="0"/>
                <w:sz w:val="20"/>
                <w:szCs w:val="20"/>
                <w:lang w:bidi="ar"/>
              </w:rPr>
              <w:t>文旅集团</w:t>
            </w:r>
          </w:p>
        </w:tc>
      </w:tr>
      <w:tr>
        <w:tblPrEx>
          <w:tblCellMar>
            <w:top w:w="0" w:type="dxa"/>
            <w:left w:w="108" w:type="dxa"/>
            <w:bottom w:w="0" w:type="dxa"/>
            <w:right w:w="108" w:type="dxa"/>
          </w:tblCellMar>
        </w:tblPrEx>
        <w:trPr>
          <w:trHeight w:val="262"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6</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溪上桃花源酒店装修项目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该酒店位于溪口镇原溪口恒大酒店，项目用地面积约28.8亩，建设面积约4.2万平方米，主体建筑已完工，后续集团计划对该酒店进行装修。</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val="en-US" w:eastAsia="zh-CN" w:bidi="ar"/>
              </w:rPr>
              <w:t>5.55</w:t>
            </w:r>
            <w:r>
              <w:rPr>
                <w:rFonts w:hint="eastAsia" w:cs="宋体"/>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val="en-US" w:eastAsia="zh-CN" w:bidi="ar"/>
              </w:rPr>
              <w:t>5.55</w:t>
            </w:r>
            <w:r>
              <w:rPr>
                <w:rFonts w:hint="eastAsia" w:cs="宋体"/>
                <w:color w:val="000000"/>
                <w:kern w:val="0"/>
                <w:sz w:val="20"/>
                <w:szCs w:val="20"/>
                <w:lang w:bidi="ar"/>
              </w:rPr>
              <w:t xml:space="preserve">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开工建设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溪口镇</w:t>
            </w:r>
            <w:r>
              <w:rPr>
                <w:rFonts w:hint="eastAsia" w:cs="宋体"/>
                <w:color w:val="000000"/>
                <w:kern w:val="0"/>
                <w:sz w:val="20"/>
                <w:szCs w:val="20"/>
                <w:lang w:bidi="ar"/>
              </w:rPr>
              <w:br w:type="textWrapping"/>
            </w:r>
            <w:r>
              <w:rPr>
                <w:rFonts w:hint="eastAsia" w:cs="宋体"/>
                <w:color w:val="000000"/>
                <w:kern w:val="0"/>
                <w:sz w:val="20"/>
                <w:szCs w:val="20"/>
                <w:lang w:bidi="ar"/>
              </w:rPr>
              <w:t>文旅集团</w:t>
            </w:r>
          </w:p>
        </w:tc>
      </w:tr>
      <w:tr>
        <w:tblPrEx>
          <w:tblCellMar>
            <w:top w:w="0" w:type="dxa"/>
            <w:left w:w="108" w:type="dxa"/>
            <w:bottom w:w="0" w:type="dxa"/>
            <w:right w:w="108" w:type="dxa"/>
          </w:tblCellMar>
        </w:tblPrEx>
        <w:trPr>
          <w:trHeight w:val="758"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奉化区现代化农业园区</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2022</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水稻种植六大服务中心</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完成项目建设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西坞街道、农业农村局</w:t>
            </w:r>
          </w:p>
        </w:tc>
      </w:tr>
      <w:tr>
        <w:tblPrEx>
          <w:tblCellMar>
            <w:top w:w="0" w:type="dxa"/>
            <w:left w:w="108" w:type="dxa"/>
            <w:bottom w:w="0" w:type="dxa"/>
            <w:right w:w="108" w:type="dxa"/>
          </w:tblCellMar>
        </w:tblPrEx>
        <w:trPr>
          <w:trHeight w:val="616"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8</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奉化区数智农业产业园</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2022</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烘干中心、农机中心、雾耕农业大棚、生物工厂</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1.5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完成项目建设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西坞街道、农业农村局</w:t>
            </w:r>
          </w:p>
        </w:tc>
      </w:tr>
      <w:tr>
        <w:tblPrEx>
          <w:tblCellMar>
            <w:top w:w="0" w:type="dxa"/>
            <w:left w:w="108" w:type="dxa"/>
            <w:bottom w:w="0" w:type="dxa"/>
            <w:right w:w="108" w:type="dxa"/>
          </w:tblCellMar>
        </w:tblPrEx>
        <w:trPr>
          <w:trHeight w:val="626"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9</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宁波数字化蔬菜直供（保供）基地项目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2022</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植物工厂、数字大棚、净菜加工仓储中心、研学中心</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5.5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5.5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完成项目建设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西坞街道、农业农村局</w:t>
            </w:r>
          </w:p>
        </w:tc>
      </w:tr>
      <w:tr>
        <w:tblPrEx>
          <w:tblCellMar>
            <w:top w:w="0" w:type="dxa"/>
            <w:left w:w="108" w:type="dxa"/>
            <w:bottom w:w="0" w:type="dxa"/>
            <w:right w:w="108" w:type="dxa"/>
          </w:tblCellMar>
        </w:tblPrEx>
        <w:trPr>
          <w:trHeight w:val="38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b/>
                <w:bCs/>
                <w:color w:val="000000"/>
                <w:kern w:val="0"/>
                <w:sz w:val="20"/>
                <w:szCs w:val="20"/>
                <w:lang w:bidi="ar"/>
              </w:rPr>
              <w:t>（二）</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交通设施</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default" w:cs="宋体"/>
                <w:b/>
                <w:bCs/>
                <w:color w:val="000000"/>
                <w:sz w:val="20"/>
                <w:szCs w:val="20"/>
              </w:rPr>
            </w:pP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 xml:space="preserve">10.0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 xml:space="preserve">10.0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color w:val="000000"/>
                <w:sz w:val="20"/>
                <w:szCs w:val="20"/>
              </w:rPr>
            </w:pPr>
          </w:p>
        </w:tc>
        <w:tc>
          <w:tcPr>
            <w:tcW w:w="1299"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r>
      <w:tr>
        <w:tblPrEx>
          <w:tblCellMar>
            <w:top w:w="0" w:type="dxa"/>
            <w:left w:w="108" w:type="dxa"/>
            <w:bottom w:w="0" w:type="dxa"/>
            <w:right w:w="108" w:type="dxa"/>
          </w:tblCellMar>
        </w:tblPrEx>
        <w:trPr>
          <w:trHeight w:val="78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10</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旅游度假区道路及配套工程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2022-2024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旅游度假区内道路，包括侨城路、虹海路、天妃大道、昌海路、和海路、阳湖东路、阳湖西路等道路及配套工程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5.0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5.0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滨海旅游区管理中心</w:t>
            </w:r>
          </w:p>
        </w:tc>
      </w:tr>
      <w:tr>
        <w:tblPrEx>
          <w:tblCellMar>
            <w:top w:w="0" w:type="dxa"/>
            <w:left w:w="108" w:type="dxa"/>
            <w:bottom w:w="0" w:type="dxa"/>
            <w:right w:w="108" w:type="dxa"/>
          </w:tblCellMar>
        </w:tblPrEx>
        <w:trPr>
          <w:trHeight w:val="78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健康旅游新城道路及配套工程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w:t>
            </w:r>
            <w:r>
              <w:rPr>
                <w:rFonts w:hint="eastAsia" w:cs="宋体"/>
                <w:color w:val="000000"/>
                <w:kern w:val="0"/>
                <w:sz w:val="20"/>
                <w:szCs w:val="20"/>
                <w:lang w:val="en-US" w:eastAsia="zh-CN" w:bidi="ar"/>
              </w:rPr>
              <w:t>2</w:t>
            </w:r>
            <w:r>
              <w:rPr>
                <w:rFonts w:hint="eastAsia" w:cs="宋体"/>
                <w:color w:val="000000"/>
                <w:kern w:val="0"/>
                <w:sz w:val="20"/>
                <w:szCs w:val="20"/>
                <w:lang w:bidi="ar"/>
              </w:rPr>
              <w:t>-202</w:t>
            </w:r>
            <w:r>
              <w:rPr>
                <w:rFonts w:hint="eastAsia" w:cs="宋体"/>
                <w:color w:val="000000"/>
                <w:kern w:val="0"/>
                <w:sz w:val="20"/>
                <w:szCs w:val="20"/>
                <w:lang w:val="en-US" w:eastAsia="zh-CN" w:bidi="ar"/>
              </w:rPr>
              <w:t>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健康旅游新城内道路，包括规划二路、规划三路、规划五路、规划六路、规划七路、规划八路、规划6-1路等道路及配套工程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5.0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5.0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滨海旅游区管理中心</w:t>
            </w:r>
          </w:p>
        </w:tc>
      </w:tr>
      <w:tr>
        <w:tblPrEx>
          <w:tblCellMar>
            <w:top w:w="0" w:type="dxa"/>
            <w:left w:w="108" w:type="dxa"/>
            <w:bottom w:w="0" w:type="dxa"/>
            <w:right w:w="108" w:type="dxa"/>
          </w:tblCellMar>
        </w:tblPrEx>
        <w:trPr>
          <w:trHeight w:val="293"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b/>
                <w:bCs/>
                <w:color w:val="000000"/>
                <w:kern w:val="0"/>
                <w:sz w:val="20"/>
                <w:szCs w:val="20"/>
                <w:lang w:bidi="ar"/>
              </w:rPr>
              <w:t>（三）</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生态环保</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default" w:cs="宋体"/>
                <w:b/>
                <w:bCs/>
                <w:color w:val="000000"/>
                <w:sz w:val="20"/>
                <w:szCs w:val="20"/>
              </w:rPr>
            </w:pP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val="en-US" w:eastAsia="zh-CN" w:bidi="ar"/>
              </w:rPr>
              <w:t>1</w:t>
            </w:r>
            <w:r>
              <w:rPr>
                <w:rFonts w:hint="eastAsia" w:cs="宋体"/>
                <w:b/>
                <w:bCs/>
                <w:color w:val="000000"/>
                <w:kern w:val="0"/>
                <w:sz w:val="20"/>
                <w:szCs w:val="20"/>
                <w:lang w:bidi="ar"/>
              </w:rPr>
              <w:t xml:space="preserve">.2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val="en-US" w:eastAsia="zh-CN" w:bidi="ar"/>
              </w:rPr>
              <w:t>1</w:t>
            </w:r>
            <w:r>
              <w:rPr>
                <w:rFonts w:hint="eastAsia" w:cs="宋体"/>
                <w:b/>
                <w:bCs/>
                <w:color w:val="000000"/>
                <w:kern w:val="0"/>
                <w:sz w:val="20"/>
                <w:szCs w:val="20"/>
                <w:lang w:bidi="ar"/>
              </w:rPr>
              <w:t xml:space="preserve">.2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color w:val="000000"/>
                <w:sz w:val="20"/>
                <w:szCs w:val="20"/>
              </w:rPr>
            </w:pPr>
          </w:p>
        </w:tc>
        <w:tc>
          <w:tcPr>
            <w:tcW w:w="1299"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r>
      <w:tr>
        <w:tblPrEx>
          <w:tblCellMar>
            <w:top w:w="0" w:type="dxa"/>
            <w:left w:w="108" w:type="dxa"/>
            <w:bottom w:w="0" w:type="dxa"/>
            <w:right w:w="108" w:type="dxa"/>
          </w:tblCellMar>
        </w:tblPrEx>
        <w:trPr>
          <w:trHeight w:val="78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12</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避风锚地南堤水闸工程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2022-2023</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南堤中部新建钢板翻板闸一座，以及南堤全线内侧边坡进行覆绿，另配套1座水闸智能化管理系统和1套海洋生态在线监测系统</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1.2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1.2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滨海旅游区管理中心</w:t>
            </w:r>
          </w:p>
        </w:tc>
      </w:tr>
      <w:tr>
        <w:tblPrEx>
          <w:tblCellMar>
            <w:top w:w="0" w:type="dxa"/>
            <w:left w:w="108" w:type="dxa"/>
            <w:bottom w:w="0" w:type="dxa"/>
            <w:right w:w="108" w:type="dxa"/>
          </w:tblCellMar>
        </w:tblPrEx>
        <w:trPr>
          <w:trHeight w:val="45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b/>
                <w:bCs/>
                <w:color w:val="000000"/>
                <w:kern w:val="0"/>
                <w:sz w:val="20"/>
                <w:szCs w:val="20"/>
                <w:lang w:bidi="ar"/>
              </w:rPr>
              <w:t>（四）</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公共服务</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default" w:cs="宋体"/>
                <w:b/>
                <w:bCs/>
                <w:color w:val="000000"/>
                <w:sz w:val="20"/>
                <w:szCs w:val="20"/>
              </w:rPr>
            </w:pP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 xml:space="preserve">9.9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 xml:space="preserve">8.9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color w:val="000000"/>
                <w:sz w:val="20"/>
                <w:szCs w:val="20"/>
              </w:rPr>
            </w:pPr>
          </w:p>
        </w:tc>
        <w:tc>
          <w:tcPr>
            <w:tcW w:w="1299"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r>
      <w:tr>
        <w:tblPrEx>
          <w:tblCellMar>
            <w:top w:w="0" w:type="dxa"/>
            <w:left w:w="108" w:type="dxa"/>
            <w:bottom w:w="0" w:type="dxa"/>
            <w:right w:w="108" w:type="dxa"/>
          </w:tblCellMar>
        </w:tblPrEx>
        <w:trPr>
          <w:trHeight w:val="78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1</w:t>
            </w:r>
            <w:r>
              <w:rPr>
                <w:rFonts w:hint="eastAsia" w:cs="宋体"/>
                <w:color w:val="000000"/>
                <w:kern w:val="0"/>
                <w:sz w:val="20"/>
                <w:szCs w:val="20"/>
                <w:lang w:val="en-US" w:eastAsia="zh-CN" w:bidi="ar"/>
              </w:rPr>
              <w:t>3</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江口街道上横住宅地块（FH13-01-20）</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2022-2026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总用地面积48.56亩，总建筑面积110176.16平方米，安置房684套</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9.9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8.9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单项验收中</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区投集团</w:t>
            </w:r>
            <w:r>
              <w:rPr>
                <w:rFonts w:hint="eastAsia" w:cs="宋体"/>
                <w:color w:val="000000"/>
                <w:kern w:val="0"/>
                <w:sz w:val="20"/>
                <w:szCs w:val="20"/>
                <w:lang w:bidi="ar"/>
              </w:rPr>
              <w:br w:type="textWrapping"/>
            </w:r>
            <w:r>
              <w:rPr>
                <w:rFonts w:hint="eastAsia" w:cs="宋体"/>
                <w:color w:val="000000"/>
                <w:kern w:val="0"/>
                <w:sz w:val="20"/>
                <w:szCs w:val="20"/>
                <w:lang w:bidi="ar"/>
              </w:rPr>
              <w:t>江口街道</w:t>
            </w:r>
          </w:p>
        </w:tc>
      </w:tr>
      <w:tr>
        <w:tblPrEx>
          <w:tblCellMar>
            <w:top w:w="0" w:type="dxa"/>
            <w:left w:w="108" w:type="dxa"/>
            <w:bottom w:w="0" w:type="dxa"/>
            <w:right w:w="108" w:type="dxa"/>
          </w:tblCellMar>
        </w:tblPrEx>
        <w:trPr>
          <w:trHeight w:val="242" w:hRule="atLeast"/>
        </w:trPr>
        <w:tc>
          <w:tcPr>
            <w:tcW w:w="838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b/>
                <w:bCs/>
                <w:color w:val="000000"/>
                <w:sz w:val="20"/>
                <w:szCs w:val="20"/>
              </w:rPr>
            </w:pPr>
            <w:r>
              <w:rPr>
                <w:rFonts w:hint="eastAsia" w:cs="宋体"/>
                <w:b/>
                <w:bCs/>
                <w:color w:val="000000"/>
                <w:kern w:val="0"/>
                <w:sz w:val="20"/>
                <w:szCs w:val="20"/>
                <w:lang w:bidi="ar"/>
              </w:rPr>
              <w:t>二、新增新开工项目</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val="0"/>
                <w:bCs w:val="0"/>
                <w:color w:val="000000"/>
                <w:sz w:val="20"/>
                <w:szCs w:val="20"/>
                <w:lang w:val="en-US"/>
              </w:rPr>
            </w:pPr>
            <w:r>
              <w:rPr>
                <w:rFonts w:hint="eastAsia" w:cs="宋体"/>
                <w:b/>
                <w:bCs/>
                <w:color w:val="000000"/>
                <w:kern w:val="0"/>
                <w:sz w:val="20"/>
                <w:szCs w:val="20"/>
                <w:lang w:val="en-US" w:eastAsia="zh-CN" w:bidi="ar"/>
              </w:rPr>
              <w:t>469</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lang w:val="en-US"/>
              </w:rPr>
            </w:pPr>
            <w:r>
              <w:rPr>
                <w:rFonts w:hint="eastAsia" w:cs="宋体"/>
                <w:b/>
                <w:bCs/>
                <w:color w:val="000000"/>
                <w:kern w:val="0"/>
                <w:sz w:val="20"/>
                <w:szCs w:val="20"/>
                <w:lang w:eastAsia="zh-CN" w:bidi="ar"/>
              </w:rPr>
              <w:t>1</w:t>
            </w:r>
            <w:r>
              <w:rPr>
                <w:rFonts w:hint="eastAsia" w:cs="宋体"/>
                <w:b/>
                <w:bCs/>
                <w:color w:val="000000"/>
                <w:kern w:val="0"/>
                <w:sz w:val="20"/>
                <w:szCs w:val="20"/>
                <w:lang w:val="en-US" w:eastAsia="zh-CN" w:bidi="ar"/>
              </w:rPr>
              <w:t>77.7</w:t>
            </w:r>
            <w:r>
              <w:rPr>
                <w:rFonts w:hint="default" w:cs="宋体"/>
                <w:b/>
                <w:bCs/>
                <w:color w:val="000000"/>
                <w:kern w:val="0"/>
                <w:sz w:val="20"/>
                <w:szCs w:val="20"/>
                <w:lang w:bidi="ar"/>
              </w:rPr>
              <w:t xml:space="preserve">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color w:val="000000"/>
                <w:sz w:val="20"/>
                <w:szCs w:val="20"/>
              </w:rPr>
            </w:pPr>
          </w:p>
        </w:tc>
        <w:tc>
          <w:tcPr>
            <w:tcW w:w="1299"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r>
      <w:tr>
        <w:tblPrEx>
          <w:tblCellMar>
            <w:top w:w="0" w:type="dxa"/>
            <w:left w:w="108" w:type="dxa"/>
            <w:bottom w:w="0" w:type="dxa"/>
            <w:right w:w="108" w:type="dxa"/>
          </w:tblCellMar>
        </w:tblPrEx>
        <w:trPr>
          <w:trHeight w:val="242"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（一）</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科技创新</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default" w:cs="宋体"/>
                <w:b/>
                <w:bCs/>
                <w:color w:val="000000"/>
                <w:sz w:val="20"/>
                <w:szCs w:val="20"/>
              </w:rPr>
            </w:pP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 xml:space="preserve">3.0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 xml:space="preserve">2.0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color w:val="000000"/>
                <w:sz w:val="20"/>
                <w:szCs w:val="20"/>
              </w:rPr>
            </w:pPr>
          </w:p>
        </w:tc>
        <w:tc>
          <w:tcPr>
            <w:tcW w:w="1299"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r>
      <w:tr>
        <w:tblPrEx>
          <w:tblCellMar>
            <w:top w:w="0" w:type="dxa"/>
            <w:left w:w="108" w:type="dxa"/>
            <w:bottom w:w="0" w:type="dxa"/>
            <w:right w:w="108" w:type="dxa"/>
          </w:tblCellMar>
        </w:tblPrEx>
        <w:trPr>
          <w:trHeight w:val="726"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奉化龙潭科研项目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新建科研大厦，占地面积14.5亩，总建筑面积36418平方米。</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3.0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主体工程完成</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水投集团</w:t>
            </w:r>
          </w:p>
        </w:tc>
      </w:tr>
      <w:tr>
        <w:tblPrEx>
          <w:tblCellMar>
            <w:top w:w="0" w:type="dxa"/>
            <w:left w:w="108" w:type="dxa"/>
            <w:bottom w:w="0" w:type="dxa"/>
            <w:right w:w="108" w:type="dxa"/>
          </w:tblCellMar>
        </w:tblPrEx>
        <w:trPr>
          <w:trHeight w:val="242"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（二）</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现代产业</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default" w:cs="宋体"/>
                <w:b/>
                <w:bCs/>
                <w:color w:val="000000"/>
                <w:sz w:val="20"/>
                <w:szCs w:val="20"/>
              </w:rPr>
            </w:pP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val="en-US" w:eastAsia="zh-CN" w:bidi="ar"/>
              </w:rPr>
              <w:t>156.4</w:t>
            </w:r>
            <w:r>
              <w:rPr>
                <w:rFonts w:hint="eastAsia" w:cs="宋体"/>
                <w:b/>
                <w:bCs/>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val="en-US" w:eastAsia="zh-CN" w:bidi="ar"/>
              </w:rPr>
              <w:t>66.9</w:t>
            </w:r>
            <w:r>
              <w:rPr>
                <w:rFonts w:hint="eastAsia" w:cs="宋体"/>
                <w:b/>
                <w:bCs/>
                <w:color w:val="000000"/>
                <w:kern w:val="0"/>
                <w:sz w:val="20"/>
                <w:szCs w:val="20"/>
                <w:lang w:bidi="ar"/>
              </w:rPr>
              <w:t xml:space="preserve">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color w:val="000000"/>
                <w:sz w:val="20"/>
                <w:szCs w:val="20"/>
              </w:rPr>
            </w:pPr>
          </w:p>
        </w:tc>
        <w:tc>
          <w:tcPr>
            <w:tcW w:w="1299"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r>
      <w:tr>
        <w:tblPrEx>
          <w:tblCellMar>
            <w:top w:w="0" w:type="dxa"/>
            <w:left w:w="108" w:type="dxa"/>
            <w:bottom w:w="0" w:type="dxa"/>
            <w:right w:w="108" w:type="dxa"/>
          </w:tblCellMar>
        </w:tblPrEx>
        <w:trPr>
          <w:trHeight w:val="726"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循环经济园区电镀产业园项目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规划面积约80亩，建设内容包括电镀标准厂房、电镀污水处理站、办公中心、危化品仓库及其他附属，总建筑面积约11万m2，其中标准厂房面积约10万m2。</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4.5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4.5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开发区管委会</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3</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循环经济园区印染园区项目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总用地面积55亩，计划引进宁波云科时尚实业集团有限公司年产1500万件服装全产业链项目（狮丹努集团投资）。</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2.8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2.8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开发区管委会</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4</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循环经济园区拆迁安置用房项目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规划用地面积72.28亩，总建筑面积11万平方米，建设内容包含厂房、配电房、停车位及绿化等</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5.0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5.0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开发区管委会</w:t>
            </w:r>
          </w:p>
        </w:tc>
      </w:tr>
      <w:tr>
        <w:tblPrEx>
          <w:tblCellMar>
            <w:top w:w="0" w:type="dxa"/>
            <w:left w:w="108" w:type="dxa"/>
            <w:bottom w:w="0" w:type="dxa"/>
            <w:right w:w="108" w:type="dxa"/>
          </w:tblCellMar>
        </w:tblPrEx>
        <w:trPr>
          <w:trHeight w:val="523"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5</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奉化区南山信创源项目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项目位于四明路以南、南山路以西区块，总用地428.03亩，定位打造电子信息产业园及配套商业服务，项目主体分为奉化区南山信创源厂房改造项目、奉化区南山信创源小徵园项目、奉化区南山信创源智享公寓项目、奉化区南山信创源园区配套中心项目。</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30.0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5.0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开工</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交投集团</w:t>
            </w:r>
          </w:p>
        </w:tc>
      </w:tr>
      <w:tr>
        <w:tblPrEx>
          <w:tblCellMar>
            <w:top w:w="0" w:type="dxa"/>
            <w:left w:w="108" w:type="dxa"/>
            <w:bottom w:w="0" w:type="dxa"/>
            <w:right w:w="108" w:type="dxa"/>
          </w:tblCellMar>
        </w:tblPrEx>
        <w:trPr>
          <w:trHeight w:val="523"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6</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奉化滨海片区产城融合项目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2024-2027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项目包括沿海中线拓宽、桐照矿山修复、文创产业园、旅游集散中心、加油站等六大子工程，总用地面积约3037亩，其中需新征用地约1367亩，总建筑面积约323427平方米。</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30.0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开工</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交投集团</w:t>
            </w:r>
          </w:p>
        </w:tc>
      </w:tr>
      <w:tr>
        <w:tblPrEx>
          <w:tblCellMar>
            <w:top w:w="0" w:type="dxa"/>
            <w:left w:w="108" w:type="dxa"/>
            <w:bottom w:w="0" w:type="dxa"/>
            <w:right w:w="108" w:type="dxa"/>
          </w:tblCellMar>
        </w:tblPrEx>
        <w:trPr>
          <w:trHeight w:val="968"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生命健康产业园项目（原华扬铝业地块开发项目）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园区总用地面积133095平方米（约199亩），拟建总建筑面积约50万平方米（其中地下建筑面积约10万平方米），内容包括研发总部、专业厂房、蓝领公寓、人才用房及商业配套等多栋楼宇建筑群。</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25.0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完成土建施工80%的工程量</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工投集团</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8</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大昌生物科技项目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用地面积约50亩（具体以规划设计条件为准），其中一期约40亩（斯张村工业七-2号）；二期约10亩，待土地成熟后供地</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2.5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岳林街道</w:t>
            </w:r>
          </w:p>
        </w:tc>
      </w:tr>
      <w:tr>
        <w:tblPrEx>
          <w:tblCellMar>
            <w:top w:w="0" w:type="dxa"/>
            <w:left w:w="108" w:type="dxa"/>
            <w:bottom w:w="0" w:type="dxa"/>
            <w:right w:w="108" w:type="dxa"/>
          </w:tblCellMar>
        </w:tblPrEx>
        <w:trPr>
          <w:trHeight w:val="726"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9</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年产10万台智能冲奶机项目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计划新增建筑面积约27000平方米，打造宁波智能化母婴家电创新平台。</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cs="宋体"/>
                <w:color w:val="000000"/>
                <w:kern w:val="0"/>
                <w:sz w:val="20"/>
                <w:szCs w:val="20"/>
                <w:lang w:bidi="ar"/>
              </w:rPr>
            </w:pPr>
            <w:r>
              <w:rPr>
                <w:rFonts w:hint="eastAsia" w:cs="宋体"/>
                <w:color w:val="000000"/>
                <w:kern w:val="0"/>
                <w:sz w:val="20"/>
                <w:szCs w:val="20"/>
                <w:lang w:bidi="ar"/>
              </w:rPr>
              <w:t>岳林街道</w:t>
            </w:r>
          </w:p>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kern w:val="0"/>
                <w:sz w:val="20"/>
                <w:szCs w:val="20"/>
                <w:lang w:val="en-US" w:eastAsia="zh-CN" w:bidi="ar"/>
              </w:rPr>
            </w:pPr>
            <w:r>
              <w:rPr>
                <w:rFonts w:hint="eastAsia" w:cs="宋体"/>
                <w:color w:val="000000"/>
                <w:kern w:val="0"/>
                <w:sz w:val="20"/>
                <w:szCs w:val="20"/>
                <w:lang w:val="en-US" w:eastAsia="zh-CN" w:bidi="ar"/>
              </w:rPr>
              <w:t>经济开发区</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10</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大成路两侧地段FH24-01-07f-1地块（锋成大厦北侧地块）</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总用地面积8953平方米（约13.5亩），拟建2幢高度50米以内的大楼，总建筑面积约2.9万平方米。</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2.5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项目竣工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工投集团</w:t>
            </w:r>
          </w:p>
        </w:tc>
      </w:tr>
      <w:tr>
        <w:tblPrEx>
          <w:tblCellMar>
            <w:top w:w="0" w:type="dxa"/>
            <w:left w:w="108" w:type="dxa"/>
            <w:bottom w:w="0" w:type="dxa"/>
            <w:right w:w="108" w:type="dxa"/>
          </w:tblCellMar>
        </w:tblPrEx>
        <w:trPr>
          <w:trHeight w:val="278"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布童物联网科技（上海）有限公司项目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项目总用地面积约54亩，选址茗山智造园，其中一期用地面积约21亩，二期用地面积约33亩（目前正在申报控规调整，待批复），在完成总部公司相关指标及一期项目推进顺利的前提下，启动二期项目供地；项目计划总投资约4亿元。一期项目预计2026年建成投产，生产智能安全座椅、婴儿床、儿童推车和儿童餐椅等母婴用品。</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2.7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2.7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岳林街道</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12</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祥晋汽车密封系统和电池壳体总成项目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计划用地55.5亩，用于密封系统和电池壳体总成生产研发</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4.0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0.5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主体工程建设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西坞街道</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13</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鲍斯螺杆压缩机、真空泵扩建以及研发楼工程项目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公司计划利用现有子公司宁波长壁液压传动科技有限公司厂区80亩以及相邻地块供地大约25亩，用于鲍斯新产品生产研发。</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4.0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主体工程建设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西坞街道</w:t>
            </w:r>
          </w:p>
        </w:tc>
      </w:tr>
      <w:tr>
        <w:tblPrEx>
          <w:tblCellMar>
            <w:top w:w="0" w:type="dxa"/>
            <w:left w:w="108" w:type="dxa"/>
            <w:bottom w:w="0" w:type="dxa"/>
            <w:right w:w="108" w:type="dxa"/>
          </w:tblCellMar>
        </w:tblPrEx>
        <w:trPr>
          <w:trHeight w:val="968"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14</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智能产业园（烟厂西侧）建设工程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智能产业分园占地约 197.7 亩，园区内将建设 35 幢智能化高标</w:t>
            </w:r>
            <w:r>
              <w:rPr>
                <w:rFonts w:hint="eastAsia" w:cs="宋体"/>
                <w:color w:val="000000"/>
                <w:kern w:val="0"/>
                <w:sz w:val="20"/>
                <w:szCs w:val="20"/>
                <w:lang w:bidi="ar"/>
              </w:rPr>
              <w:br w:type="textWrapping"/>
            </w:r>
            <w:r>
              <w:rPr>
                <w:rFonts w:hint="eastAsia" w:cs="宋体"/>
                <w:color w:val="000000"/>
                <w:kern w:val="0"/>
                <w:sz w:val="20"/>
                <w:szCs w:val="20"/>
                <w:lang w:bidi="ar"/>
              </w:rPr>
              <w:t>准厂房，新增建筑面积共计 329500m2，占地面积共计 6183m2。</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9.7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0.5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预计2025年开工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农商集团</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15</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大堰镇生态整治片区一期项目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新建万竹共富综合体、竹文化体验中心等10个项目，建筑规模约20000平方米。</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1.8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1.8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农商集团</w:t>
            </w:r>
            <w:r>
              <w:rPr>
                <w:rFonts w:hint="eastAsia" w:cs="宋体"/>
                <w:color w:val="000000"/>
                <w:kern w:val="0"/>
                <w:sz w:val="20"/>
                <w:szCs w:val="20"/>
                <w:lang w:bidi="ar"/>
              </w:rPr>
              <w:br w:type="textWrapping"/>
            </w:r>
            <w:r>
              <w:rPr>
                <w:rFonts w:hint="eastAsia" w:cs="宋体"/>
                <w:color w:val="000000"/>
                <w:kern w:val="0"/>
                <w:sz w:val="20"/>
                <w:szCs w:val="20"/>
                <w:lang w:bidi="ar"/>
              </w:rPr>
              <w:t>大堰镇</w:t>
            </w:r>
          </w:p>
        </w:tc>
      </w:tr>
      <w:tr>
        <w:tblPrEx>
          <w:tblCellMar>
            <w:top w:w="0" w:type="dxa"/>
            <w:left w:w="108" w:type="dxa"/>
            <w:bottom w:w="0" w:type="dxa"/>
            <w:right w:w="108" w:type="dxa"/>
          </w:tblCellMar>
        </w:tblPrEx>
        <w:trPr>
          <w:trHeight w:val="998"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16</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奉化滕头—青云文化旅游设施提升项目（二期）</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非遗研学实践教育基地项目、生态农业观光体验项目、景区综合提升项目、浙江农村共富交流中心项目</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w:t>
            </w:r>
            <w:r>
              <w:rPr>
                <w:rFonts w:hint="eastAsia" w:cs="宋体"/>
                <w:color w:val="000000"/>
                <w:kern w:val="0"/>
                <w:sz w:val="20"/>
                <w:szCs w:val="20"/>
                <w:lang w:val="en-US" w:eastAsia="zh-CN" w:bidi="ar"/>
              </w:rPr>
              <w:t>66</w:t>
            </w:r>
            <w:r>
              <w:rPr>
                <w:rFonts w:hint="eastAsia" w:cs="宋体"/>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w:t>
            </w:r>
            <w:r>
              <w:rPr>
                <w:rFonts w:hint="eastAsia" w:cs="宋体"/>
                <w:color w:val="000000"/>
                <w:kern w:val="0"/>
                <w:sz w:val="20"/>
                <w:szCs w:val="20"/>
                <w:lang w:val="en-US" w:eastAsia="zh-CN" w:bidi="ar"/>
              </w:rPr>
              <w:t>66</w:t>
            </w:r>
            <w:r>
              <w:rPr>
                <w:rFonts w:hint="eastAsia" w:cs="宋体"/>
                <w:color w:val="000000"/>
                <w:kern w:val="0"/>
                <w:sz w:val="20"/>
                <w:szCs w:val="20"/>
                <w:lang w:bidi="ar"/>
              </w:rPr>
              <w:t xml:space="preserve">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文旅集团</w:t>
            </w:r>
            <w:r>
              <w:rPr>
                <w:rFonts w:hint="eastAsia" w:cs="宋体"/>
                <w:color w:val="000000"/>
                <w:kern w:val="0"/>
                <w:sz w:val="20"/>
                <w:szCs w:val="20"/>
                <w:lang w:bidi="ar"/>
              </w:rPr>
              <w:br w:type="textWrapping"/>
            </w:r>
            <w:r>
              <w:rPr>
                <w:rFonts w:hint="eastAsia" w:cs="宋体"/>
                <w:color w:val="000000"/>
                <w:kern w:val="0"/>
                <w:sz w:val="20"/>
                <w:szCs w:val="20"/>
                <w:lang w:bidi="ar"/>
              </w:rPr>
              <w:t>萧王庙街道</w:t>
            </w:r>
          </w:p>
        </w:tc>
      </w:tr>
      <w:tr>
        <w:tblPrEx>
          <w:tblCellMar>
            <w:top w:w="0" w:type="dxa"/>
            <w:left w:w="108" w:type="dxa"/>
            <w:bottom w:w="0" w:type="dxa"/>
            <w:right w:w="108" w:type="dxa"/>
          </w:tblCellMar>
        </w:tblPrEx>
        <w:trPr>
          <w:trHeight w:val="121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雪窦山景区基础设施及周边景观提升项目（寺前广场）</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该项目总面积约20000平方米，新建总建筑面积约5100平方米，其中地上约3100平方米（含御书亭停车场新建公厕），改造面积约20000平方米，拟提升改造景区周边、停车场、公共厕所、休憩设施、亲水平台、景观绿化种植、景观水体及置石、室外铺装等；周边配套景观。</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完工和交付使用</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溪口镇</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18</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千僧堂 （项目名称可能会有变化）</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新建千僧堂26994平方米，至少满足2000人用餐。</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完工和交付使用</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溪口镇</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19</w:t>
            </w:r>
          </w:p>
        </w:tc>
        <w:tc>
          <w:tcPr>
            <w:tcW w:w="200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溪口镇旅游集散中心及周边改造项目</w:t>
            </w:r>
          </w:p>
        </w:tc>
        <w:tc>
          <w:tcPr>
            <w:tcW w:w="115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2023-2024</w:t>
            </w:r>
          </w:p>
        </w:tc>
        <w:tc>
          <w:tcPr>
            <w:tcW w:w="4407"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停车楼项目建设、浒溪线改造、大山门建设和弥勒圣坛周边商业及广场提升。</w:t>
            </w:r>
          </w:p>
        </w:tc>
        <w:tc>
          <w:tcPr>
            <w:tcW w:w="982"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4.0 </w:t>
            </w:r>
          </w:p>
        </w:tc>
        <w:tc>
          <w:tcPr>
            <w:tcW w:w="1473"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4.0 </w:t>
            </w:r>
          </w:p>
        </w:tc>
        <w:tc>
          <w:tcPr>
            <w:tcW w:w="202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项目开工</w:t>
            </w:r>
          </w:p>
        </w:tc>
        <w:tc>
          <w:tcPr>
            <w:tcW w:w="129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溪口镇</w:t>
            </w:r>
          </w:p>
        </w:tc>
      </w:tr>
      <w:tr>
        <w:tblPrEx>
          <w:tblCellMar>
            <w:top w:w="0" w:type="dxa"/>
            <w:left w:w="108" w:type="dxa"/>
            <w:bottom w:w="0" w:type="dxa"/>
            <w:right w:w="108" w:type="dxa"/>
          </w:tblCellMar>
        </w:tblPrEx>
        <w:trPr>
          <w:trHeight w:val="242" w:hRule="atLeast"/>
        </w:trPr>
        <w:tc>
          <w:tcPr>
            <w:tcW w:w="81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w:t>
            </w: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奉化区弥勒文化园</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项目占地面积约20亩，总建筑面积约30000平方米</w:t>
            </w:r>
          </w:p>
        </w:tc>
        <w:tc>
          <w:tcPr>
            <w:tcW w:w="9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1.0 </w:t>
            </w:r>
          </w:p>
        </w:tc>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0.5 </w:t>
            </w:r>
          </w:p>
        </w:tc>
        <w:tc>
          <w:tcPr>
            <w:tcW w:w="20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主体工程动工</w:t>
            </w:r>
          </w:p>
        </w:tc>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文广旅体局</w:t>
            </w:r>
          </w:p>
        </w:tc>
      </w:tr>
      <w:tr>
        <w:tblPrEx>
          <w:tblCellMar>
            <w:top w:w="0" w:type="dxa"/>
            <w:left w:w="108" w:type="dxa"/>
            <w:bottom w:w="0" w:type="dxa"/>
            <w:right w:w="108" w:type="dxa"/>
          </w:tblCellMar>
        </w:tblPrEx>
        <w:trPr>
          <w:trHeight w:val="726" w:hRule="atLeast"/>
        </w:trPr>
        <w:tc>
          <w:tcPr>
            <w:tcW w:w="81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21</w:t>
            </w: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奉化区宿集项目</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包括大堰镇宿集项目（谢界山里新屋民宿项目、里洞坑民宿项目、南坑岙村、半山村、后山村、羊岙岗村）、应梦斑竹民宿项目、慈林村民宿项目等基础配套设施项目；</w:t>
            </w:r>
          </w:p>
        </w:tc>
        <w:tc>
          <w:tcPr>
            <w:tcW w:w="9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2.4 </w:t>
            </w:r>
          </w:p>
        </w:tc>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0.5 </w:t>
            </w:r>
          </w:p>
        </w:tc>
        <w:tc>
          <w:tcPr>
            <w:tcW w:w="20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完成1—2个民宿项目</w:t>
            </w:r>
          </w:p>
        </w:tc>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color w:val="000000"/>
                <w:sz w:val="20"/>
                <w:szCs w:val="20"/>
              </w:rPr>
            </w:pPr>
          </w:p>
        </w:tc>
      </w:tr>
      <w:tr>
        <w:tblPrEx>
          <w:tblCellMar>
            <w:top w:w="0" w:type="dxa"/>
            <w:left w:w="108" w:type="dxa"/>
            <w:bottom w:w="0" w:type="dxa"/>
            <w:right w:w="108" w:type="dxa"/>
          </w:tblCellMar>
        </w:tblPrEx>
        <w:trPr>
          <w:trHeight w:val="968"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22</w:t>
            </w:r>
          </w:p>
        </w:tc>
        <w:tc>
          <w:tcPr>
            <w:tcW w:w="2006"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区文体服务中心项目（一期）</w:t>
            </w:r>
          </w:p>
        </w:tc>
        <w:tc>
          <w:tcPr>
            <w:tcW w:w="1156"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该项目用地面积约20亩，项目分期实施一期项目用地面积 4252 ㎡，建筑面积约 11700 ㎡。计划建设以体育运动、文化休闲为一体的文体综合服务中心，中心内有文化类、体育类、休闲类（咖啡吧、简餐）、办公类等功能区域。</w:t>
            </w:r>
          </w:p>
        </w:tc>
        <w:tc>
          <w:tcPr>
            <w:tcW w:w="982"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1.3 </w:t>
            </w:r>
          </w:p>
        </w:tc>
        <w:tc>
          <w:tcPr>
            <w:tcW w:w="1473"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1.3 </w:t>
            </w:r>
          </w:p>
        </w:tc>
        <w:tc>
          <w:tcPr>
            <w:tcW w:w="2029"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开工建设</w:t>
            </w:r>
          </w:p>
        </w:tc>
        <w:tc>
          <w:tcPr>
            <w:tcW w:w="1299"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文旅集团</w:t>
            </w:r>
            <w:r>
              <w:rPr>
                <w:rFonts w:hint="eastAsia" w:cs="宋体"/>
                <w:color w:val="000000"/>
                <w:kern w:val="0"/>
                <w:sz w:val="20"/>
                <w:szCs w:val="20"/>
                <w:lang w:bidi="ar"/>
              </w:rPr>
              <w:br w:type="textWrapping"/>
            </w:r>
            <w:r>
              <w:rPr>
                <w:rFonts w:hint="eastAsia" w:cs="宋体"/>
                <w:color w:val="000000"/>
                <w:kern w:val="0"/>
                <w:sz w:val="20"/>
                <w:szCs w:val="20"/>
                <w:lang w:bidi="ar"/>
              </w:rPr>
              <w:t>锦屏街道</w:t>
            </w:r>
          </w:p>
        </w:tc>
      </w:tr>
      <w:tr>
        <w:tblPrEx>
          <w:tblCellMar>
            <w:top w:w="0" w:type="dxa"/>
            <w:left w:w="108" w:type="dxa"/>
            <w:bottom w:w="0" w:type="dxa"/>
            <w:right w:w="108" w:type="dxa"/>
          </w:tblCellMar>
        </w:tblPrEx>
        <w:trPr>
          <w:trHeight w:val="726"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23</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红色滨海旅游项目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新建缤纷欢乐岛、改造恒大售楼处及样板房区块、改扩建兰芳故居，打造一条以红色旅游为主、餐饮、住宿等功能齐全的旅游精品线。</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5.0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0.2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开工建设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松岙镇、滨海旅游区管理中心</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2</w:t>
            </w:r>
            <w:r>
              <w:rPr>
                <w:rFonts w:hint="eastAsia" w:cs="宋体"/>
                <w:color w:val="000000"/>
                <w:kern w:val="0"/>
                <w:sz w:val="20"/>
                <w:szCs w:val="20"/>
                <w:lang w:val="en-US" w:eastAsia="zh-CN" w:bidi="ar"/>
              </w:rPr>
              <w:t>4</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公共码头综合体项目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2024-2026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总用地面积约</w:t>
            </w:r>
            <w:r>
              <w:rPr>
                <w:rFonts w:hint="eastAsia" w:cs="宋体"/>
                <w:color w:val="000000"/>
                <w:kern w:val="0"/>
                <w:sz w:val="20"/>
                <w:szCs w:val="20"/>
                <w:lang w:val="en-US" w:eastAsia="zh-CN" w:bidi="ar"/>
              </w:rPr>
              <w:t>22</w:t>
            </w:r>
            <w:r>
              <w:rPr>
                <w:rFonts w:hint="eastAsia" w:cs="宋体"/>
                <w:color w:val="000000"/>
                <w:kern w:val="0"/>
                <w:sz w:val="20"/>
                <w:szCs w:val="20"/>
                <w:lang w:bidi="ar"/>
              </w:rPr>
              <w:t>0亩，总建筑面积约</w:t>
            </w:r>
            <w:r>
              <w:rPr>
                <w:rFonts w:hint="eastAsia" w:cs="宋体"/>
                <w:color w:val="000000"/>
                <w:kern w:val="0"/>
                <w:sz w:val="20"/>
                <w:szCs w:val="20"/>
                <w:lang w:val="en-US" w:eastAsia="zh-CN" w:bidi="ar"/>
              </w:rPr>
              <w:t>20</w:t>
            </w:r>
            <w:r>
              <w:rPr>
                <w:rFonts w:hint="eastAsia" w:cs="宋体"/>
                <w:color w:val="000000"/>
                <w:kern w:val="0"/>
                <w:sz w:val="20"/>
                <w:szCs w:val="20"/>
                <w:lang w:bidi="ar"/>
              </w:rPr>
              <w:t>万平方米。主要建设内容为帆船博物馆、商业中心、酒店综合体</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10.0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val="en-US" w:eastAsia="zh-CN" w:bidi="ar"/>
              </w:rPr>
              <w:t>2</w:t>
            </w:r>
            <w:r>
              <w:rPr>
                <w:rFonts w:hint="eastAsia" w:cs="宋体"/>
                <w:color w:val="000000"/>
                <w:kern w:val="0"/>
                <w:sz w:val="20"/>
                <w:szCs w:val="20"/>
                <w:lang w:bidi="ar"/>
              </w:rPr>
              <w:t xml:space="preserve">.0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val="en-US" w:eastAsia="zh-CN" w:bidi="ar"/>
              </w:rPr>
              <w:t>完成总工程的30%</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滨海旅游区管理中心</w:t>
            </w:r>
          </w:p>
        </w:tc>
      </w:tr>
      <w:tr>
        <w:tblPrEx>
          <w:tblCellMar>
            <w:top w:w="0" w:type="dxa"/>
            <w:left w:w="108" w:type="dxa"/>
            <w:bottom w:w="0" w:type="dxa"/>
            <w:right w:w="108" w:type="dxa"/>
          </w:tblCellMar>
        </w:tblPrEx>
        <w:trPr>
          <w:trHeight w:val="726"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2</w:t>
            </w:r>
            <w:r>
              <w:rPr>
                <w:rFonts w:hint="eastAsia" w:cs="宋体"/>
                <w:color w:val="000000"/>
                <w:kern w:val="0"/>
                <w:sz w:val="20"/>
                <w:szCs w:val="20"/>
                <w:lang w:val="en-US" w:eastAsia="zh-CN" w:bidi="ar"/>
              </w:rPr>
              <w:t>5</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cs="宋体"/>
                <w:color w:val="000000"/>
                <w:kern w:val="0"/>
                <w:sz w:val="20"/>
                <w:szCs w:val="20"/>
                <w:lang w:bidi="ar"/>
              </w:rPr>
              <w:t>中心渔港桐照码头综合开发利用项目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cs="宋体"/>
                <w:color w:val="000000"/>
                <w:kern w:val="0"/>
                <w:sz w:val="20"/>
                <w:szCs w:val="20"/>
                <w:lang w:bidi="ar"/>
              </w:rPr>
              <w:t>2024-2026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i w:val="0"/>
                <w:iCs w:val="0"/>
                <w:color w:val="000000"/>
                <w:kern w:val="0"/>
                <w:sz w:val="20"/>
                <w:szCs w:val="20"/>
                <w:u w:val="none"/>
                <w:lang w:val="en-US" w:eastAsia="zh-CN" w:bidi="ar"/>
              </w:rPr>
              <w:t>3层透水建筑及码头生产附属配套设施</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i w:val="0"/>
                <w:iCs w:val="0"/>
                <w:color w:val="000000"/>
                <w:kern w:val="0"/>
                <w:sz w:val="20"/>
                <w:szCs w:val="20"/>
                <w:u w:val="none"/>
                <w:lang w:val="en-US" w:eastAsia="zh-CN" w:bidi="ar"/>
              </w:rPr>
              <w:t>1.6</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i w:val="0"/>
                <w:iCs w:val="0"/>
                <w:color w:val="000000"/>
                <w:kern w:val="0"/>
                <w:sz w:val="20"/>
                <w:szCs w:val="20"/>
                <w:u w:val="none"/>
                <w:lang w:val="en-US" w:eastAsia="zh-CN" w:bidi="ar"/>
              </w:rPr>
              <w:t xml:space="preserve">1.0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i w:val="0"/>
                <w:iCs w:val="0"/>
                <w:color w:val="000000"/>
                <w:kern w:val="0"/>
                <w:sz w:val="20"/>
                <w:szCs w:val="20"/>
                <w:u w:val="none"/>
                <w:lang w:val="en-US" w:eastAsia="zh-CN" w:bidi="ar"/>
              </w:rPr>
              <w:t>完成方案设计并开工建设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i w:val="0"/>
                <w:iCs w:val="0"/>
                <w:color w:val="000000"/>
                <w:kern w:val="0"/>
                <w:sz w:val="20"/>
                <w:szCs w:val="20"/>
                <w:u w:val="none"/>
                <w:lang w:val="en-US" w:eastAsia="zh-CN" w:bidi="ar"/>
              </w:rPr>
              <w:t>莼湖街道</w:t>
            </w:r>
          </w:p>
        </w:tc>
      </w:tr>
      <w:tr>
        <w:tblPrEx>
          <w:tblCellMar>
            <w:top w:w="0" w:type="dxa"/>
            <w:left w:w="108" w:type="dxa"/>
            <w:bottom w:w="0" w:type="dxa"/>
            <w:right w:w="108" w:type="dxa"/>
          </w:tblCellMar>
        </w:tblPrEx>
        <w:trPr>
          <w:trHeight w:val="453"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0"/>
                <w:szCs w:val="20"/>
                <w:lang w:val="en-US" w:eastAsia="zh-CN" w:bidi="ar-SA"/>
              </w:rPr>
            </w:pPr>
            <w:r>
              <w:rPr>
                <w:rFonts w:hint="eastAsia" w:cs="宋体"/>
                <w:b/>
                <w:bCs/>
                <w:color w:val="000000"/>
                <w:kern w:val="0"/>
                <w:sz w:val="20"/>
                <w:szCs w:val="20"/>
                <w:lang w:bidi="ar"/>
              </w:rPr>
              <w:t>（三）</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bCs/>
                <w:color w:val="000000"/>
                <w:kern w:val="2"/>
                <w:sz w:val="20"/>
                <w:szCs w:val="20"/>
                <w:lang w:val="en-US" w:eastAsia="zh-CN" w:bidi="ar-SA"/>
              </w:rPr>
            </w:pPr>
            <w:r>
              <w:rPr>
                <w:rFonts w:hint="eastAsia" w:cs="宋体"/>
                <w:b/>
                <w:bCs/>
                <w:color w:val="000000"/>
                <w:kern w:val="0"/>
                <w:sz w:val="20"/>
                <w:szCs w:val="20"/>
                <w:lang w:bidi="ar"/>
              </w:rPr>
              <w:t>交通设施</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宋体"/>
                <w:b/>
                <w:bCs/>
                <w:color w:val="000000"/>
                <w:kern w:val="2"/>
                <w:sz w:val="20"/>
                <w:szCs w:val="20"/>
                <w:lang w:val="en-US" w:eastAsia="zh-CN" w:bidi="ar-SA"/>
              </w:rPr>
            </w:pP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宋体"/>
                <w:b/>
                <w:bCs/>
                <w:color w:val="000000"/>
                <w:kern w:val="2"/>
                <w:sz w:val="20"/>
                <w:szCs w:val="20"/>
                <w:lang w:val="en-US" w:eastAsia="zh-CN" w:bidi="ar-SA"/>
              </w:rPr>
            </w:pP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bCs/>
                <w:color w:val="000000"/>
                <w:kern w:val="2"/>
                <w:sz w:val="20"/>
                <w:szCs w:val="20"/>
                <w:lang w:val="en-US" w:eastAsia="zh-CN" w:bidi="ar-SA"/>
              </w:rPr>
            </w:pPr>
            <w:r>
              <w:rPr>
                <w:rFonts w:hint="eastAsia" w:cs="宋体"/>
                <w:b/>
                <w:bCs/>
                <w:color w:val="000000"/>
                <w:kern w:val="0"/>
                <w:sz w:val="20"/>
                <w:szCs w:val="20"/>
                <w:lang w:val="en-US" w:eastAsia="zh-CN" w:bidi="ar"/>
              </w:rPr>
              <w:t>201.4</w:t>
            </w:r>
            <w:r>
              <w:rPr>
                <w:rFonts w:hint="eastAsia" w:cs="宋体"/>
                <w:b/>
                <w:bCs/>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bCs/>
                <w:color w:val="000000"/>
                <w:kern w:val="2"/>
                <w:sz w:val="20"/>
                <w:szCs w:val="20"/>
                <w:lang w:val="en-US" w:eastAsia="zh-CN" w:bidi="ar-SA"/>
              </w:rPr>
            </w:pPr>
            <w:r>
              <w:rPr>
                <w:rFonts w:hint="eastAsia" w:cs="宋体"/>
                <w:b/>
                <w:bCs/>
                <w:color w:val="000000"/>
                <w:kern w:val="0"/>
                <w:sz w:val="20"/>
                <w:szCs w:val="20"/>
                <w:lang w:val="en-US" w:eastAsia="zh-CN" w:bidi="ar"/>
              </w:rPr>
              <w:t>61.9</w:t>
            </w:r>
            <w:r>
              <w:rPr>
                <w:rFonts w:hint="eastAsia" w:cs="宋体"/>
                <w:b/>
                <w:bCs/>
                <w:color w:val="000000"/>
                <w:kern w:val="0"/>
                <w:sz w:val="20"/>
                <w:szCs w:val="20"/>
                <w:lang w:bidi="ar"/>
              </w:rPr>
              <w:t xml:space="preserve">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000000"/>
                <w:kern w:val="0"/>
                <w:sz w:val="20"/>
                <w:szCs w:val="20"/>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w:t>
            </w:r>
            <w:r>
              <w:rPr>
                <w:rFonts w:hint="eastAsia" w:cs="宋体"/>
                <w:color w:val="000000"/>
                <w:kern w:val="0"/>
                <w:sz w:val="20"/>
                <w:szCs w:val="20"/>
                <w:lang w:val="en-US" w:eastAsia="zh-CN" w:bidi="ar"/>
              </w:rPr>
              <w:t>6</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奉化四明路（锦奉大道至机场南路）快速化改造工程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2023-2028</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全长约6公里，工程采用“地面+高架”复合通道形式，地面设计标准为一级公路，兼顾城市道路功能，标准断面为双向 4 车道加两侧非机动车道和人行道；高架设计标准为快速路，标准段面为双向6车道。全线设3对平行匝道、1 座互通立交（奉化东环线立交）</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34.5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12.0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一阶段西段高架完工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交投集团</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2</w:t>
            </w:r>
            <w:r>
              <w:rPr>
                <w:rFonts w:hint="eastAsia" w:cs="宋体"/>
                <w:color w:val="000000"/>
                <w:kern w:val="0"/>
                <w:sz w:val="20"/>
                <w:szCs w:val="20"/>
                <w:lang w:val="en-US" w:eastAsia="zh-CN" w:bidi="ar"/>
              </w:rPr>
              <w:t>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X306县道（尚岭线）尚界线至葛岙水库段提升改造工程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2024-2025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长约6.7公里公路提升改造</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1.6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1.2</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交投集团</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28</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奉化四明东路延伸段（S203省道至奉钱线）道路工程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路线全长590米，双向六车道，路基宽度36米，兼顾城市道路功能。</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0.8</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交投集团</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29</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天妃大道桥梁段项目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全长9公里，其中桥梁段4公里</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val="en-US" w:eastAsia="zh-CN" w:bidi="ar"/>
              </w:rPr>
              <w:t>6.9</w:t>
            </w:r>
            <w:r>
              <w:rPr>
                <w:rFonts w:hint="eastAsia" w:cs="宋体"/>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val="en-US" w:eastAsia="zh-CN" w:bidi="ar"/>
              </w:rPr>
              <w:t>6.9</w:t>
            </w:r>
            <w:r>
              <w:rPr>
                <w:rFonts w:hint="eastAsia" w:cs="宋体"/>
                <w:color w:val="000000"/>
                <w:kern w:val="0"/>
                <w:sz w:val="20"/>
                <w:szCs w:val="20"/>
                <w:lang w:bidi="ar"/>
              </w:rPr>
              <w:t xml:space="preserve">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滨海旅游区管理中心</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val="en-US" w:eastAsia="zh-CN"/>
              </w:rPr>
            </w:pPr>
            <w:r>
              <w:rPr>
                <w:rFonts w:hint="eastAsia" w:cs="宋体"/>
                <w:color w:val="000000"/>
                <w:kern w:val="0"/>
                <w:sz w:val="20"/>
                <w:szCs w:val="20"/>
                <w:lang w:bidi="ar"/>
              </w:rPr>
              <w:t>3</w:t>
            </w:r>
            <w:r>
              <w:rPr>
                <w:rFonts w:hint="eastAsia" w:cs="宋体"/>
                <w:color w:val="000000"/>
                <w:kern w:val="0"/>
                <w:sz w:val="20"/>
                <w:szCs w:val="20"/>
                <w:lang w:val="en-US" w:eastAsia="zh-CN" w:bidi="ar"/>
              </w:rPr>
              <w:t>0</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val="en-US" w:eastAsia="zh-CN" w:bidi="ar"/>
              </w:rPr>
              <w:t>天妃湖栈</w:t>
            </w:r>
            <w:r>
              <w:rPr>
                <w:rFonts w:hint="eastAsia" w:cs="宋体"/>
                <w:color w:val="000000"/>
                <w:kern w:val="0"/>
                <w:sz w:val="20"/>
                <w:szCs w:val="20"/>
                <w:lang w:bidi="ar"/>
              </w:rPr>
              <w:t>桥项目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全长3.05公里，其中桥梁部分2.9公里，道路采用聚乙烯高分子浮筒结构，桥面铺装采用铝合金龙骨加实木铺装</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1.2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1.2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滨海旅游区管理中心</w:t>
            </w:r>
          </w:p>
        </w:tc>
      </w:tr>
      <w:tr>
        <w:tblPrEx>
          <w:tblCellMar>
            <w:top w:w="0" w:type="dxa"/>
            <w:left w:w="108" w:type="dxa"/>
            <w:bottom w:w="0" w:type="dxa"/>
            <w:right w:w="108" w:type="dxa"/>
          </w:tblCellMar>
        </w:tblPrEx>
        <w:trPr>
          <w:trHeight w:val="9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3</w:t>
            </w:r>
            <w:r>
              <w:rPr>
                <w:rFonts w:hint="eastAsia" w:cs="宋体"/>
                <w:color w:val="000000"/>
                <w:kern w:val="0"/>
                <w:sz w:val="20"/>
                <w:szCs w:val="20"/>
                <w:lang w:val="en-US" w:eastAsia="zh-CN"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S209江拔线溪口西至新昌改造工程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二级公路，全长15公里，路面提升</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0.8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完成总工程量40%</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区交通局</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3</w:t>
            </w:r>
            <w:r>
              <w:rPr>
                <w:rFonts w:hint="eastAsia" w:cs="宋体"/>
                <w:color w:val="000000"/>
                <w:kern w:val="0"/>
                <w:sz w:val="20"/>
                <w:szCs w:val="20"/>
                <w:lang w:val="en-US" w:eastAsia="zh-CN" w:bidi="ar"/>
              </w:rPr>
              <w:t>2</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莼湖街道东环线南延工程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2023-2024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本工程路线起点位于振兴路交叉口，向南沿降渚溪河岸西侧走向，终点接现状天海路全场长1.107km，路基标准断面布置：2.0m人行道+3.0m非机动车道+0.25m路缘带+3.25m×2行车道+0.5m双黄线+3.25m×2行车道+0.25m路缘带+3.0m非机动车道+2.0m人行道=24.0m，本工程全线无桥梁，设置涵洞11道，其中箱涵1道，其余均为圆管涵。</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1.3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1.3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开发区管委会、莼湖街道</w:t>
            </w:r>
          </w:p>
        </w:tc>
      </w:tr>
      <w:tr>
        <w:tblPrEx>
          <w:tblCellMar>
            <w:top w:w="0" w:type="dxa"/>
            <w:left w:w="108" w:type="dxa"/>
            <w:bottom w:w="0" w:type="dxa"/>
            <w:right w:w="108" w:type="dxa"/>
          </w:tblCellMar>
        </w:tblPrEx>
        <w:trPr>
          <w:trHeight w:val="577"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3</w:t>
            </w:r>
            <w:r>
              <w:rPr>
                <w:rFonts w:hint="eastAsia" w:cs="宋体"/>
                <w:color w:val="000000"/>
                <w:kern w:val="0"/>
                <w:sz w:val="20"/>
                <w:szCs w:val="20"/>
                <w:lang w:val="en-US" w:eastAsia="zh-CN" w:bidi="ar"/>
              </w:rPr>
              <w:t>3</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滨海观光大道公路工程（振兴路至沿海中线段）</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本项目起点位于振兴路，向南沿降渚溪河岸东侧布线，终点接现状沿海中线。全线长度约为 2.576km。路基断面布置如下： 断面宽度 24.0m，具体布置为：0.5m 护栏+2×（0. 5m 路缘带 3.25m×2行车道+0. 5m 路缘带+3.75m 人非混行道）=24.0m。 道路红线宽24m，路基挖方 18.400 千立方米，填方 143.1 千立方米，路面 42.591 千平方米，桥梁1座，涵洞11道，平面交叉4处（规划路口2处），新增用地 92.4 亩。</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3.6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3.6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开发区管委会、莼湖街道</w:t>
            </w:r>
          </w:p>
        </w:tc>
      </w:tr>
      <w:tr>
        <w:tblPrEx>
          <w:tblCellMar>
            <w:top w:w="0" w:type="dxa"/>
            <w:left w:w="108" w:type="dxa"/>
            <w:bottom w:w="0" w:type="dxa"/>
            <w:right w:w="108" w:type="dxa"/>
          </w:tblCellMar>
        </w:tblPrEx>
        <w:trPr>
          <w:trHeight w:val="169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3</w:t>
            </w:r>
            <w:r>
              <w:rPr>
                <w:rFonts w:hint="eastAsia" w:cs="宋体"/>
                <w:color w:val="000000"/>
                <w:kern w:val="0"/>
                <w:sz w:val="20"/>
                <w:szCs w:val="20"/>
                <w:lang w:val="en-US" w:eastAsia="zh-CN" w:bidi="ar"/>
              </w:rPr>
              <w:t>4</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kern w:val="2"/>
                <w:sz w:val="20"/>
                <w:szCs w:val="20"/>
                <w:lang w:val="en-US" w:eastAsia="zh-CN" w:bidi="ar-SA"/>
              </w:rPr>
            </w:pPr>
            <w:r>
              <w:rPr>
                <w:rFonts w:hint="eastAsia" w:cs="宋体"/>
                <w:kern w:val="0"/>
                <w:sz w:val="20"/>
                <w:szCs w:val="20"/>
                <w:lang w:bidi="ar"/>
              </w:rPr>
              <w:t>宁波奉化狮子山码头工程项目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kern w:val="2"/>
                <w:sz w:val="20"/>
                <w:szCs w:val="20"/>
                <w:lang w:val="en-US" w:eastAsia="zh-CN" w:bidi="ar-SA"/>
              </w:rPr>
            </w:pPr>
            <w:r>
              <w:rPr>
                <w:rFonts w:hint="eastAsia" w:cs="宋体"/>
                <w:kern w:val="0"/>
                <w:sz w:val="20"/>
                <w:szCs w:val="20"/>
                <w:lang w:bidi="ar"/>
              </w:rPr>
              <w:t>2024-2027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kern w:val="2"/>
                <w:sz w:val="20"/>
                <w:szCs w:val="20"/>
                <w:lang w:val="en-US" w:eastAsia="zh-CN" w:bidi="ar-SA"/>
              </w:rPr>
            </w:pPr>
            <w:r>
              <w:rPr>
                <w:rFonts w:hint="eastAsia" w:cs="宋体"/>
                <w:kern w:val="0"/>
                <w:sz w:val="20"/>
                <w:szCs w:val="20"/>
                <w:lang w:bidi="ar"/>
              </w:rPr>
              <w:t>用地面积约230亩</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kern w:val="2"/>
                <w:sz w:val="20"/>
                <w:szCs w:val="20"/>
                <w:lang w:val="en-US" w:eastAsia="zh-CN" w:bidi="ar-SA"/>
              </w:rPr>
            </w:pPr>
            <w:r>
              <w:rPr>
                <w:rFonts w:hint="eastAsia" w:cs="宋体"/>
                <w:kern w:val="0"/>
                <w:sz w:val="20"/>
                <w:szCs w:val="20"/>
                <w:lang w:bidi="ar"/>
              </w:rPr>
              <w:t>10.2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kern w:val="2"/>
                <w:sz w:val="20"/>
                <w:szCs w:val="20"/>
                <w:lang w:val="en-US" w:eastAsia="zh-CN" w:bidi="ar-SA"/>
              </w:rPr>
            </w:pPr>
            <w:r>
              <w:rPr>
                <w:rFonts w:hint="eastAsia" w:cs="宋体"/>
                <w:kern w:val="0"/>
                <w:sz w:val="20"/>
                <w:szCs w:val="20"/>
                <w:lang w:bidi="ar"/>
              </w:rPr>
              <w:t>1</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kern w:val="2"/>
                <w:sz w:val="20"/>
                <w:szCs w:val="20"/>
                <w:lang w:val="en-US" w:eastAsia="zh-CN" w:bidi="ar-SA"/>
              </w:rPr>
            </w:pPr>
            <w:r>
              <w:rPr>
                <w:rFonts w:hint="eastAsia" w:cs="宋体"/>
                <w:kern w:val="0"/>
                <w:sz w:val="20"/>
                <w:szCs w:val="20"/>
                <w:lang w:bidi="ar"/>
              </w:rPr>
              <w:t>开工建设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kern w:val="2"/>
                <w:sz w:val="20"/>
                <w:szCs w:val="20"/>
                <w:lang w:val="en-US" w:eastAsia="zh-CN" w:bidi="ar-SA"/>
              </w:rPr>
            </w:pPr>
            <w:r>
              <w:rPr>
                <w:rFonts w:hint="eastAsia" w:cs="宋体"/>
                <w:kern w:val="0"/>
                <w:sz w:val="20"/>
                <w:szCs w:val="20"/>
                <w:lang w:bidi="ar"/>
              </w:rPr>
              <w:t>交投集团</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sz w:val="20"/>
                <w:szCs w:val="20"/>
                <w:lang w:eastAsia="zh-CN"/>
              </w:rPr>
            </w:pPr>
            <w:r>
              <w:rPr>
                <w:rFonts w:hint="eastAsia" w:cs="宋体"/>
                <w:kern w:val="0"/>
                <w:sz w:val="20"/>
                <w:szCs w:val="20"/>
                <w:lang w:bidi="ar"/>
              </w:rPr>
              <w:t>3</w:t>
            </w:r>
            <w:r>
              <w:rPr>
                <w:rFonts w:hint="eastAsia" w:cs="宋体"/>
                <w:kern w:val="0"/>
                <w:sz w:val="20"/>
                <w:szCs w:val="20"/>
                <w:lang w:val="en-US" w:eastAsia="zh-CN" w:bidi="ar"/>
              </w:rPr>
              <w:t>5</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产城融合区块配套道路</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2023-2028</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产城融合新区配套道路，位于莼湖街道振兴路南侧降渚溪东岸，道路总长约1.8公里，宽约18米。</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2.0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2.0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莼湖街道办事处</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36</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城市职业技术学院南侧配套道路工程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2023-2024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道路西起现状峰岭路，东至现状西圃路，全长895米，沿线设置交叉口3处，红线宽度20米，双向两车道。</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auto"/>
                <w:kern w:val="2"/>
                <w:sz w:val="20"/>
                <w:szCs w:val="20"/>
                <w:lang w:val="en-US" w:eastAsia="zh-CN" w:bidi="ar-SA"/>
              </w:rPr>
            </w:pPr>
            <w:r>
              <w:rPr>
                <w:rFonts w:hint="eastAsia" w:cs="宋体"/>
                <w:color w:val="auto"/>
                <w:kern w:val="0"/>
                <w:sz w:val="20"/>
                <w:szCs w:val="20"/>
                <w:lang w:bidi="ar"/>
              </w:rPr>
              <w:t>1.3</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auto"/>
                <w:kern w:val="2"/>
                <w:sz w:val="20"/>
                <w:szCs w:val="20"/>
                <w:lang w:val="en-US" w:eastAsia="zh-CN" w:bidi="ar-SA"/>
              </w:rPr>
            </w:pPr>
            <w:r>
              <w:rPr>
                <w:rFonts w:hint="eastAsia" w:cs="宋体"/>
                <w:color w:val="auto"/>
                <w:kern w:val="0"/>
                <w:sz w:val="20"/>
                <w:szCs w:val="20"/>
                <w:lang w:bidi="ar"/>
              </w:rPr>
              <w:t>1.3</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auto"/>
                <w:kern w:val="2"/>
                <w:sz w:val="20"/>
                <w:szCs w:val="20"/>
                <w:lang w:val="en-US" w:eastAsia="zh-CN" w:bidi="ar-SA"/>
              </w:rPr>
            </w:pPr>
            <w:r>
              <w:rPr>
                <w:rFonts w:hint="eastAsia" w:cs="宋体"/>
                <w:color w:val="auto"/>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0"/>
                <w:szCs w:val="20"/>
                <w:lang w:val="en-US" w:eastAsia="zh-CN" w:bidi="ar-SA"/>
              </w:rPr>
            </w:pPr>
            <w:r>
              <w:rPr>
                <w:rFonts w:hint="eastAsia" w:cs="宋体"/>
                <w:color w:val="000000"/>
                <w:kern w:val="0"/>
                <w:sz w:val="20"/>
                <w:szCs w:val="20"/>
                <w:lang w:eastAsia="zh-CN" w:bidi="ar"/>
              </w:rPr>
              <w:t>城开集团</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37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金海路慢行隧道</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2024-2027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金海路现状中横村红绿灯交叉口至金地村村名旁下穿通道处，全长3.71公里，其中隧道长3.26公里，隧道断面为8.5米，双向通行。</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2.8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1.2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完成总工程量40%</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交投集团</w:t>
            </w:r>
          </w:p>
        </w:tc>
      </w:tr>
      <w:tr>
        <w:tblPrEx>
          <w:tblCellMar>
            <w:top w:w="0" w:type="dxa"/>
            <w:left w:w="108" w:type="dxa"/>
            <w:bottom w:w="0" w:type="dxa"/>
            <w:right w:w="108" w:type="dxa"/>
          </w:tblCellMar>
        </w:tblPrEx>
        <w:trPr>
          <w:trHeight w:val="726"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38</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sz w:val="20"/>
                <w:szCs w:val="20"/>
              </w:rPr>
              <w:t>宁波湾区智慧文旅区块公路工程（沿海中线至桐照边防派出所附近段）</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default"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全长约</w:t>
            </w:r>
            <w:r>
              <w:rPr>
                <w:rFonts w:hint="default" w:cs="宋体"/>
                <w:color w:val="000000"/>
                <w:kern w:val="0"/>
                <w:sz w:val="20"/>
                <w:szCs w:val="20"/>
                <w:lang w:bidi="ar"/>
              </w:rPr>
              <w:t>7.76</w:t>
            </w:r>
            <w:r>
              <w:rPr>
                <w:rFonts w:hint="eastAsia" w:cs="宋体"/>
                <w:color w:val="000000"/>
                <w:kern w:val="0"/>
                <w:sz w:val="20"/>
                <w:szCs w:val="20"/>
                <w:lang w:bidi="ar"/>
              </w:rPr>
              <w:t>公里，拓宽至24米</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default" w:cs="宋体"/>
                <w:color w:val="000000"/>
                <w:sz w:val="20"/>
                <w:szCs w:val="20"/>
              </w:rPr>
              <w:t>9</w:t>
            </w:r>
            <w:r>
              <w:rPr>
                <w:rFonts w:hint="default" w:cs="宋体"/>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default" w:cs="宋体"/>
                <w:color w:val="000000"/>
                <w:kern w:val="0"/>
                <w:sz w:val="20"/>
                <w:szCs w:val="20"/>
                <w:lang w:bidi="ar"/>
              </w:rPr>
              <w:t xml:space="preserve">2.0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完成总工程量10%</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0"/>
                <w:szCs w:val="20"/>
                <w:lang w:val="en-US" w:eastAsia="zh-CN" w:bidi="ar-SA"/>
              </w:rPr>
            </w:pPr>
            <w:r>
              <w:rPr>
                <w:rFonts w:hint="eastAsia" w:cs="宋体"/>
                <w:color w:val="000000"/>
                <w:kern w:val="0"/>
                <w:sz w:val="20"/>
                <w:szCs w:val="20"/>
                <w:lang w:eastAsia="zh-CN" w:bidi="ar"/>
              </w:rPr>
              <w:t>城开集团</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39</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印家坑小微园区对外交通道路</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2023-2024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线路总长度约2.8公里，包括桥梁、污水管网等工程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1.2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0.8</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交投集团         尚田街道</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kern w:val="0"/>
                <w:sz w:val="20"/>
                <w:szCs w:val="20"/>
                <w:lang w:eastAsia="zh-CN" w:bidi="ar"/>
              </w:rPr>
            </w:pPr>
            <w:r>
              <w:rPr>
                <w:rFonts w:hint="eastAsia" w:cs="宋体"/>
                <w:color w:val="000000"/>
                <w:kern w:val="0"/>
                <w:sz w:val="20"/>
                <w:szCs w:val="20"/>
                <w:lang w:bidi="ar"/>
              </w:rPr>
              <w:t>4</w:t>
            </w:r>
            <w:r>
              <w:rPr>
                <w:rFonts w:hint="eastAsia" w:cs="宋体"/>
                <w:color w:val="000000"/>
                <w:kern w:val="0"/>
                <w:sz w:val="20"/>
                <w:szCs w:val="20"/>
                <w:lang w:val="en-US" w:eastAsia="zh-CN" w:bidi="ar"/>
              </w:rPr>
              <w:t>0</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溪口南环线</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全长约9.3公里，按一级公路标准建设</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20.0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1.0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根据土地调整情况推进，基本完成方案研究</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溪口镇</w:t>
            </w:r>
          </w:p>
        </w:tc>
      </w:tr>
      <w:tr>
        <w:tblPrEx>
          <w:tblCellMar>
            <w:top w:w="0" w:type="dxa"/>
            <w:left w:w="108" w:type="dxa"/>
            <w:bottom w:w="0" w:type="dxa"/>
            <w:right w:w="108" w:type="dxa"/>
          </w:tblCellMar>
        </w:tblPrEx>
        <w:trPr>
          <w:trHeight w:val="48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4</w:t>
            </w:r>
            <w:r>
              <w:rPr>
                <w:rFonts w:hint="eastAsia" w:cs="宋体"/>
                <w:color w:val="000000"/>
                <w:kern w:val="0"/>
                <w:sz w:val="20"/>
                <w:szCs w:val="20"/>
                <w:lang w:val="en-US" w:eastAsia="zh-CN"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奉溪二通道</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全长约16公里，按一级公路标准建设</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28.0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1.0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深化方案研究，争取土地指标</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高等级公路建设指挥部</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4</w:t>
            </w:r>
            <w:r>
              <w:rPr>
                <w:rFonts w:hint="eastAsia" w:cs="宋体"/>
                <w:color w:val="000000"/>
                <w:kern w:val="0"/>
                <w:sz w:val="20"/>
                <w:szCs w:val="20"/>
                <w:lang w:val="en-US" w:eastAsia="zh-CN" w:bidi="ar"/>
              </w:rPr>
              <w:t>2</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G228丹东线奉化段拓宽改造工程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全长约10.9公里，按一级公路双向六车道标准扩建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9.4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0.5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深化方案研究，争取土地指标</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高等级公路建设指挥部</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4</w:t>
            </w:r>
            <w:r>
              <w:rPr>
                <w:rFonts w:hint="eastAsia" w:cs="宋体"/>
                <w:color w:val="000000"/>
                <w:kern w:val="0"/>
                <w:sz w:val="20"/>
                <w:szCs w:val="20"/>
                <w:lang w:val="en-US" w:eastAsia="zh-CN" w:bidi="ar"/>
              </w:rPr>
              <w:t>3</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奉钱线（宁西线至S203省道）拓宽</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全长约4.5公里，拟拓宽至双向四车道</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10.3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0.5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基本完成方案研究</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交通局</w:t>
            </w:r>
          </w:p>
        </w:tc>
      </w:tr>
      <w:tr>
        <w:tblPrEx>
          <w:tblCellMar>
            <w:top w:w="0" w:type="dxa"/>
            <w:left w:w="108" w:type="dxa"/>
            <w:bottom w:w="0" w:type="dxa"/>
            <w:right w:w="108" w:type="dxa"/>
          </w:tblCellMar>
        </w:tblPrEx>
        <w:trPr>
          <w:trHeight w:val="242"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4</w:t>
            </w:r>
            <w:r>
              <w:rPr>
                <w:rFonts w:hint="eastAsia" w:cs="宋体"/>
                <w:color w:val="000000"/>
                <w:kern w:val="0"/>
                <w:sz w:val="20"/>
                <w:szCs w:val="20"/>
                <w:lang w:val="en-US" w:eastAsia="zh-CN" w:bidi="ar"/>
              </w:rPr>
              <w:t>4</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溪口火车站连接线道路</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建设溪口火车站连接江拔线道路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0.5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基本完成方案研究</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交通局</w:t>
            </w:r>
          </w:p>
        </w:tc>
      </w:tr>
      <w:tr>
        <w:tblPrEx>
          <w:tblCellMar>
            <w:top w:w="0" w:type="dxa"/>
            <w:left w:w="108" w:type="dxa"/>
            <w:bottom w:w="0" w:type="dxa"/>
            <w:right w:w="108" w:type="dxa"/>
          </w:tblCellMar>
        </w:tblPrEx>
        <w:trPr>
          <w:trHeight w:val="242"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4</w:t>
            </w:r>
            <w:r>
              <w:rPr>
                <w:rFonts w:hint="eastAsia" w:cs="宋体"/>
                <w:color w:val="000000"/>
                <w:kern w:val="0"/>
                <w:sz w:val="20"/>
                <w:szCs w:val="20"/>
                <w:lang w:val="en-US" w:eastAsia="zh-CN" w:bidi="ar"/>
              </w:rPr>
              <w:t>5</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松岙至塘溪公路工程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2025-2030</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ascii="Times New Roman" w:hAnsi="Times New Roman" w:eastAsia="宋体" w:cs="宋体"/>
                <w:color w:val="000000"/>
                <w:kern w:val="2"/>
                <w:sz w:val="20"/>
                <w:szCs w:val="20"/>
                <w:lang w:val="en-US" w:eastAsia="zh-CN" w:bidi="ar-SA"/>
              </w:rPr>
              <w:t>全长约14公里，其中奉化段10.4公里，鄞州段3.6公里；其中改造段5.3公里，新建8.7公里</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10.0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0.5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根据与上级部门及鄞州区对接情况而定</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0"/>
                <w:szCs w:val="20"/>
                <w:lang w:bidi="ar"/>
              </w:rPr>
            </w:pPr>
            <w:r>
              <w:rPr>
                <w:rFonts w:hint="eastAsia" w:cs="宋体"/>
                <w:color w:val="000000"/>
                <w:kern w:val="0"/>
                <w:sz w:val="20"/>
                <w:szCs w:val="20"/>
                <w:lang w:bidi="ar"/>
              </w:rPr>
              <w:t>松岙镇</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交通局   </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4</w:t>
            </w:r>
            <w:r>
              <w:rPr>
                <w:rFonts w:hint="eastAsia" w:cs="宋体"/>
                <w:color w:val="000000"/>
                <w:kern w:val="0"/>
                <w:sz w:val="20"/>
                <w:szCs w:val="20"/>
                <w:lang w:val="en-US" w:eastAsia="zh-CN" w:bidi="ar"/>
              </w:rPr>
              <w:t>6</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循环经济园区奉钱线改扩建工程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全长约1665米，标准段红线28米（含市政管网及附属设施）</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2.0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2.0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竣工验收</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开发区管委会</w:t>
            </w:r>
          </w:p>
        </w:tc>
      </w:tr>
      <w:tr>
        <w:tblPrEx>
          <w:tblCellMar>
            <w:top w:w="0" w:type="dxa"/>
            <w:left w:w="108" w:type="dxa"/>
            <w:bottom w:w="0" w:type="dxa"/>
            <w:right w:w="108" w:type="dxa"/>
          </w:tblCellMar>
        </w:tblPrEx>
        <w:trPr>
          <w:trHeight w:val="318"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47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sz w:val="20"/>
                <w:szCs w:val="20"/>
              </w:rPr>
              <w:t>奉化区宁南贸易物流园区配套基础设施（四期）－儒江路跨剡江大桥及接线（滨江路-甬临线）工程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2023-2026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道路长 899米，宽度为 40米</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val="en-US" w:eastAsia="zh-CN" w:bidi="ar"/>
              </w:rPr>
              <w:t>4.1</w:t>
            </w:r>
            <w:r>
              <w:rPr>
                <w:rFonts w:hint="eastAsia" w:cs="宋体"/>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highlight w:val="none"/>
                <w:lang w:eastAsia="zh-CN" w:bidi="ar"/>
              </w:rPr>
              <w:t>3</w:t>
            </w:r>
            <w:r>
              <w:rPr>
                <w:rFonts w:hint="eastAsia" w:cs="宋体"/>
                <w:color w:val="000000"/>
                <w:kern w:val="0"/>
                <w:sz w:val="20"/>
                <w:szCs w:val="20"/>
                <w:highlight w:val="none"/>
                <w:lang w:val="en-US" w:eastAsia="zh-CN" w:bidi="ar"/>
              </w:rPr>
              <w:t>.5</w:t>
            </w:r>
            <w:r>
              <w:rPr>
                <w:rFonts w:hint="eastAsia" w:cs="宋体"/>
                <w:color w:val="000000"/>
                <w:kern w:val="0"/>
                <w:sz w:val="20"/>
                <w:szCs w:val="20"/>
                <w:lang w:bidi="ar"/>
              </w:rPr>
              <w:t xml:space="preserve">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0"/>
                <w:szCs w:val="20"/>
                <w:lang w:val="en-US" w:eastAsia="zh-CN" w:bidi="ar-SA"/>
              </w:rPr>
            </w:pPr>
            <w:r>
              <w:rPr>
                <w:rFonts w:hint="eastAsia" w:cs="宋体"/>
                <w:color w:val="000000"/>
                <w:kern w:val="0"/>
                <w:sz w:val="20"/>
                <w:szCs w:val="20"/>
                <w:lang w:val="en-US" w:eastAsia="zh-CN" w:bidi="ar"/>
              </w:rPr>
              <w:t>基本完工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住建局</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48</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中兴路改造项目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13.1467公顷</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3.7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3.7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溪口镇</w:t>
            </w:r>
          </w:p>
        </w:tc>
      </w:tr>
      <w:tr>
        <w:tblPrEx>
          <w:tblCellMar>
            <w:top w:w="0" w:type="dxa"/>
            <w:left w:w="108" w:type="dxa"/>
            <w:bottom w:w="0" w:type="dxa"/>
            <w:right w:w="108" w:type="dxa"/>
          </w:tblCellMar>
        </w:tblPrEx>
        <w:trPr>
          <w:trHeight w:val="90"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49</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公园路改造项目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3.5公顷</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1.2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1.2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溪口镇</w:t>
            </w:r>
          </w:p>
        </w:tc>
      </w:tr>
      <w:tr>
        <w:tblPrEx>
          <w:tblCellMar>
            <w:top w:w="0" w:type="dxa"/>
            <w:left w:w="108" w:type="dxa"/>
            <w:bottom w:w="0" w:type="dxa"/>
            <w:right w:w="108" w:type="dxa"/>
          </w:tblCellMar>
        </w:tblPrEx>
        <w:trPr>
          <w:trHeight w:val="35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5</w:t>
            </w:r>
            <w:r>
              <w:rPr>
                <w:rFonts w:hint="eastAsia" w:cs="宋体"/>
                <w:color w:val="000000"/>
                <w:kern w:val="0"/>
                <w:sz w:val="20"/>
                <w:szCs w:val="20"/>
                <w:lang w:val="en-US" w:eastAsia="zh-CN" w:bidi="ar"/>
              </w:rPr>
              <w:t>0</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奉化区全域旅游基础设施改造提升工程－奉化区国际时尚产业园配套道路工程一期</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2.9805公顷</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1.3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0.9</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交投集团</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5</w:t>
            </w:r>
            <w:r>
              <w:rPr>
                <w:rFonts w:hint="eastAsia" w:cs="宋体"/>
                <w:color w:val="000000"/>
                <w:kern w:val="0"/>
                <w:sz w:val="20"/>
                <w:szCs w:val="20"/>
                <w:lang w:val="en-US" w:eastAsia="zh-CN"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宝化路快速化改造（锦奉大道－金钟路）</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长约2.9公里，主线双向6车道，辅路双向4车道</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21.5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0.5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开工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住建局</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5</w:t>
            </w:r>
            <w:r>
              <w:rPr>
                <w:rFonts w:hint="eastAsia" w:cs="宋体"/>
                <w:color w:val="000000"/>
                <w:kern w:val="0"/>
                <w:sz w:val="20"/>
                <w:szCs w:val="20"/>
                <w:lang w:val="en-US" w:eastAsia="zh-CN" w:bidi="ar"/>
              </w:rPr>
              <w:t>2</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奉南路（西锦路－红墙外弄）</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2024-2025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工程全长770米，宽32米，涉及拆迁民房21152平方米。</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6.5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6.5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项目完工并通车</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住建局</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5</w:t>
            </w:r>
            <w:r>
              <w:rPr>
                <w:rFonts w:hint="eastAsia" w:cs="宋体"/>
                <w:color w:val="000000"/>
                <w:kern w:val="0"/>
                <w:sz w:val="20"/>
                <w:szCs w:val="20"/>
                <w:lang w:val="en-US" w:eastAsia="zh-CN" w:bidi="ar"/>
              </w:rPr>
              <w:t>3</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奉化公共交通综合体工程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项目总用地面积约22778平方，地上建筑面积约42810平方，地下建筑面积约11162平方</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 xml:space="preserve">4.8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3.5</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0"/>
                <w:szCs w:val="20"/>
                <w:lang w:val="en-US" w:eastAsia="zh-CN" w:bidi="ar-SA"/>
              </w:rPr>
            </w:pPr>
            <w:r>
              <w:rPr>
                <w:rFonts w:hint="eastAsia" w:cs="宋体"/>
                <w:color w:val="000000"/>
                <w:kern w:val="0"/>
                <w:sz w:val="20"/>
                <w:szCs w:val="20"/>
                <w:lang w:bidi="ar"/>
              </w:rPr>
              <w:t>交投集团</w:t>
            </w:r>
          </w:p>
        </w:tc>
      </w:tr>
      <w:tr>
        <w:tblPrEx>
          <w:tblCellMar>
            <w:top w:w="0" w:type="dxa"/>
            <w:left w:w="108" w:type="dxa"/>
            <w:bottom w:w="0" w:type="dxa"/>
            <w:right w:w="108" w:type="dxa"/>
          </w:tblCellMar>
        </w:tblPrEx>
        <w:trPr>
          <w:trHeight w:val="242"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b/>
                <w:bCs/>
                <w:color w:val="000000"/>
                <w:kern w:val="0"/>
                <w:sz w:val="20"/>
                <w:szCs w:val="20"/>
                <w:lang w:bidi="ar"/>
              </w:rPr>
              <w:t>（四）</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生态环保</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default" w:cs="宋体"/>
                <w:b/>
                <w:bCs/>
                <w:color w:val="000000"/>
                <w:sz w:val="20"/>
                <w:szCs w:val="20"/>
              </w:rPr>
            </w:pP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val="en-US" w:eastAsia="zh-CN" w:bidi="ar"/>
              </w:rPr>
              <w:t>30</w:t>
            </w:r>
            <w:r>
              <w:rPr>
                <w:rFonts w:hint="eastAsia" w:cs="宋体"/>
                <w:b/>
                <w:bCs/>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val="en-US" w:eastAsia="zh-CN" w:bidi="ar"/>
              </w:rPr>
              <w:t>28.3</w:t>
            </w:r>
            <w:r>
              <w:rPr>
                <w:rFonts w:hint="eastAsia" w:cs="宋体"/>
                <w:b/>
                <w:bCs/>
                <w:color w:val="000000"/>
                <w:kern w:val="0"/>
                <w:sz w:val="20"/>
                <w:szCs w:val="20"/>
                <w:lang w:bidi="ar"/>
              </w:rPr>
              <w:t xml:space="preserve">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color w:val="000000"/>
                <w:sz w:val="20"/>
                <w:szCs w:val="20"/>
              </w:rPr>
            </w:pPr>
          </w:p>
        </w:tc>
        <w:tc>
          <w:tcPr>
            <w:tcW w:w="1299"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5</w:t>
            </w:r>
            <w:r>
              <w:rPr>
                <w:rFonts w:hint="eastAsia" w:cs="宋体"/>
                <w:color w:val="000000"/>
                <w:kern w:val="0"/>
                <w:sz w:val="20"/>
                <w:szCs w:val="20"/>
                <w:lang w:val="en-US" w:eastAsia="zh-CN" w:bidi="ar"/>
              </w:rPr>
              <w:t>4</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健康旅游新城水系治理项目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2024-2026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健康旅游新城内部河道整治、桥梁新建以及沿河生态环境提升等</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1.7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val="en-US" w:eastAsia="zh-CN" w:bidi="ar"/>
              </w:rPr>
              <w:t>0</w:t>
            </w:r>
            <w:r>
              <w:rPr>
                <w:rFonts w:hint="eastAsia" w:cs="宋体"/>
                <w:color w:val="000000"/>
                <w:kern w:val="0"/>
                <w:sz w:val="20"/>
                <w:szCs w:val="20"/>
                <w:lang w:bidi="ar"/>
              </w:rPr>
              <w:t xml:space="preserve">.5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w:t>
            </w:r>
            <w:r>
              <w:rPr>
                <w:rFonts w:hint="eastAsia" w:cs="宋体"/>
                <w:color w:val="000000"/>
                <w:kern w:val="0"/>
                <w:sz w:val="20"/>
                <w:szCs w:val="20"/>
                <w:lang w:val="en-US" w:eastAsia="zh-CN" w:bidi="ar"/>
              </w:rPr>
              <w:t>成50%</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滨海旅游区管理中心</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cs="宋体"/>
                <w:color w:val="000000"/>
                <w:kern w:val="0"/>
                <w:sz w:val="20"/>
                <w:szCs w:val="20"/>
                <w:lang w:val="en-US" w:eastAsia="zh-CN" w:bidi="ar"/>
              </w:rPr>
              <w:t>55</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cs="宋体"/>
                <w:color w:val="000000"/>
                <w:kern w:val="0"/>
                <w:sz w:val="20"/>
                <w:szCs w:val="20"/>
                <w:lang w:bidi="ar"/>
              </w:rPr>
              <w:t>宁波市奉化区剡江北塘（萧王庙-周村）堤防整治工程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cs="宋体"/>
                <w:color w:val="000000"/>
                <w:kern w:val="0"/>
                <w:sz w:val="20"/>
                <w:szCs w:val="20"/>
                <w:lang w:bidi="ar"/>
              </w:rPr>
              <w:t>202</w:t>
            </w:r>
            <w:r>
              <w:rPr>
                <w:rFonts w:hint="eastAsia" w:cs="宋体"/>
                <w:color w:val="000000"/>
                <w:kern w:val="0"/>
                <w:sz w:val="20"/>
                <w:szCs w:val="20"/>
                <w:lang w:val="en-US" w:eastAsia="zh-CN" w:bidi="ar"/>
              </w:rPr>
              <w:t>5-2026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0"/>
                <w:sz w:val="20"/>
                <w:szCs w:val="20"/>
                <w:lang w:val="en-US" w:eastAsia="zh-CN" w:bidi="ar"/>
              </w:rPr>
            </w:pPr>
            <w:r>
              <w:rPr>
                <w:rFonts w:hint="eastAsia" w:cs="宋体"/>
                <w:color w:val="000000"/>
                <w:kern w:val="0"/>
                <w:sz w:val="20"/>
                <w:szCs w:val="20"/>
                <w:lang w:bidi="ar"/>
              </w:rPr>
              <w:t>整治剡江左岸堤防4.8km</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cs="宋体"/>
                <w:color w:val="000000"/>
                <w:kern w:val="0"/>
                <w:sz w:val="20"/>
                <w:szCs w:val="20"/>
                <w:lang w:val="en-US" w:eastAsia="zh-CN" w:bidi="ar"/>
              </w:rPr>
              <w:t>1.0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cs="宋体"/>
                <w:color w:val="000000"/>
                <w:kern w:val="0"/>
                <w:sz w:val="20"/>
                <w:szCs w:val="20"/>
                <w:lang w:val="en-US" w:eastAsia="zh-CN" w:bidi="ar"/>
              </w:rPr>
              <w:t>0.5</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0"/>
                <w:szCs w:val="20"/>
                <w:lang w:val="en-US" w:eastAsia="zh-CN" w:bidi="ar"/>
              </w:rPr>
            </w:pPr>
            <w:r>
              <w:rPr>
                <w:rFonts w:hint="eastAsia" w:cs="宋体"/>
                <w:color w:val="000000"/>
                <w:kern w:val="0"/>
                <w:sz w:val="20"/>
                <w:szCs w:val="20"/>
                <w:highlight w:val="none"/>
                <w:lang w:val="en-US" w:eastAsia="zh-CN" w:bidi="ar"/>
              </w:rPr>
              <w:t>完成50%</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0"/>
                <w:szCs w:val="20"/>
                <w:lang w:val="en-US" w:eastAsia="zh-CN" w:bidi="ar"/>
              </w:rPr>
            </w:pPr>
            <w:r>
              <w:rPr>
                <w:rFonts w:hint="eastAsia" w:cs="宋体"/>
                <w:color w:val="000000"/>
                <w:kern w:val="0"/>
                <w:sz w:val="20"/>
                <w:szCs w:val="20"/>
                <w:lang w:bidi="ar"/>
              </w:rPr>
              <w:t>水利局</w:t>
            </w:r>
          </w:p>
        </w:tc>
      </w:tr>
      <w:tr>
        <w:tblPrEx>
          <w:tblCellMar>
            <w:top w:w="0" w:type="dxa"/>
            <w:left w:w="108" w:type="dxa"/>
            <w:bottom w:w="0" w:type="dxa"/>
            <w:right w:w="108" w:type="dxa"/>
          </w:tblCellMar>
        </w:tblPrEx>
        <w:trPr>
          <w:trHeight w:val="35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56</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奉化主城区生态修复工程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本项目东至机场南路，西至县江，南至倪家碶河，北至山头朱村，改造面积约127.3万平方米，建设内容包括绿化种植工程、景观步道工程、照明工程、景观小品工程、智能化工程、附属设施等。</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3.69</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3.69</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eastAsia="zh-CN" w:bidi="ar"/>
              </w:rPr>
              <w:t>城开集团</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57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奉化主城区生态廊道工程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本项目东至机场南路，西至县江，南至倪家碶河，北至山，头朱村，改造面积约127.3万平方米，建设内容包括绿化种，植工程、景观步道工程、照明工程、景观小品工程、智能化工程、附属设施等。</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 xml:space="preserve">13.0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 xml:space="preserve">13.0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eastAsia="zh-CN" w:bidi="ar"/>
              </w:rPr>
              <w:t>城开集团</w:t>
            </w:r>
          </w:p>
        </w:tc>
      </w:tr>
      <w:tr>
        <w:tblPrEx>
          <w:tblCellMar>
            <w:top w:w="0" w:type="dxa"/>
            <w:left w:w="108" w:type="dxa"/>
            <w:bottom w:w="0" w:type="dxa"/>
            <w:right w:w="108" w:type="dxa"/>
          </w:tblCellMar>
        </w:tblPrEx>
        <w:trPr>
          <w:trHeight w:val="205"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highlight w:val="none"/>
                <w:lang w:val="en-US" w:eastAsia="zh-CN"/>
              </w:rPr>
            </w:pPr>
            <w:r>
              <w:rPr>
                <w:rFonts w:hint="eastAsia" w:cs="宋体"/>
                <w:color w:val="000000"/>
                <w:kern w:val="0"/>
                <w:sz w:val="20"/>
                <w:szCs w:val="20"/>
                <w:highlight w:val="none"/>
                <w:lang w:val="en-US" w:eastAsia="zh-CN" w:bidi="ar"/>
              </w:rPr>
              <w:t>58</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bidi="ar"/>
              </w:rPr>
              <w:t>松岙35MW渔光互补光伏发电项目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bidi="ar"/>
              </w:rPr>
              <w:t>2023-2024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highlight w:val="none"/>
              </w:rPr>
            </w:pPr>
            <w:r>
              <w:rPr>
                <w:rFonts w:hint="eastAsia" w:cs="宋体"/>
                <w:color w:val="000000"/>
                <w:kern w:val="0"/>
                <w:sz w:val="20"/>
                <w:szCs w:val="20"/>
                <w:highlight w:val="none"/>
                <w:lang w:bidi="ar"/>
              </w:rPr>
              <w:t>拟建设奉化区松岙镇35MW渔光互补光伏发电项目，总用地面积约735亩，光伏装机容量35MW，年发电量5335万kWh。</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val="en-US" w:eastAsia="zh-CN" w:bidi="ar"/>
              </w:rPr>
              <w:t>1.5</w:t>
            </w:r>
            <w:r>
              <w:rPr>
                <w:rFonts w:hint="eastAsia" w:cs="宋体"/>
                <w:color w:val="000000"/>
                <w:kern w:val="0"/>
                <w:sz w:val="20"/>
                <w:szCs w:val="20"/>
                <w:highlight w:val="none"/>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bidi="ar"/>
              </w:rPr>
              <w:t xml:space="preserve">2.2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松岙镇</w:t>
            </w:r>
          </w:p>
        </w:tc>
      </w:tr>
      <w:tr>
        <w:tblPrEx>
          <w:tblCellMar>
            <w:top w:w="0" w:type="dxa"/>
            <w:left w:w="108" w:type="dxa"/>
            <w:bottom w:w="0" w:type="dxa"/>
            <w:right w:w="108" w:type="dxa"/>
          </w:tblCellMar>
        </w:tblPrEx>
        <w:trPr>
          <w:trHeight w:val="968"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59</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裘村150MW渔光互补分布式光伏项目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2023-2024</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拟建设裘村镇150MW渔光互补光伏发电项目，总用地面积约2900亩，光伏装机容量150MW，年发电量21600万kWh。</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8.4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8.4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裘村镇</w:t>
            </w:r>
          </w:p>
        </w:tc>
      </w:tr>
      <w:tr>
        <w:tblPrEx>
          <w:tblCellMar>
            <w:top w:w="0" w:type="dxa"/>
            <w:left w:w="108" w:type="dxa"/>
            <w:bottom w:w="0" w:type="dxa"/>
            <w:right w:w="108" w:type="dxa"/>
          </w:tblCellMar>
        </w:tblPrEx>
        <w:trPr>
          <w:trHeight w:val="242"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（五）</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bidi="ar"/>
              </w:rPr>
              <w:t>公共服务</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default" w:cs="宋体"/>
                <w:b/>
                <w:bCs/>
                <w:color w:val="000000"/>
                <w:sz w:val="20"/>
                <w:szCs w:val="20"/>
              </w:rPr>
            </w:pP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0"/>
                <w:szCs w:val="20"/>
              </w:rPr>
            </w:pPr>
            <w:r>
              <w:rPr>
                <w:rFonts w:hint="eastAsia" w:cs="宋体"/>
                <w:b/>
                <w:bCs/>
                <w:color w:val="000000"/>
                <w:kern w:val="0"/>
                <w:sz w:val="20"/>
                <w:szCs w:val="20"/>
                <w:lang w:val="en-US" w:eastAsia="zh-CN" w:bidi="ar"/>
              </w:rPr>
              <w:t>78.2</w:t>
            </w:r>
            <w:r>
              <w:rPr>
                <w:rFonts w:hint="eastAsia" w:cs="宋体"/>
                <w:b/>
                <w:bCs/>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b/>
                <w:bCs/>
                <w:color w:val="000000"/>
                <w:sz w:val="20"/>
                <w:szCs w:val="20"/>
                <w:lang w:val="en-US" w:eastAsia="zh-CN"/>
              </w:rPr>
            </w:pPr>
            <w:r>
              <w:rPr>
                <w:rFonts w:hint="eastAsia" w:cs="宋体"/>
                <w:b/>
                <w:bCs/>
                <w:color w:val="000000"/>
                <w:kern w:val="0"/>
                <w:sz w:val="20"/>
                <w:szCs w:val="20"/>
                <w:lang w:val="en-US" w:eastAsia="zh-CN" w:bidi="ar"/>
              </w:rPr>
              <w:t>18.6</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宋体"/>
                <w:color w:val="000000"/>
                <w:sz w:val="20"/>
                <w:szCs w:val="20"/>
              </w:rPr>
            </w:pPr>
          </w:p>
        </w:tc>
        <w:tc>
          <w:tcPr>
            <w:tcW w:w="1299"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keepNext w:val="0"/>
              <w:keepLines w:val="0"/>
              <w:suppressLineNumbers w:val="0"/>
              <w:spacing w:before="0" w:beforeAutospacing="0" w:after="0" w:afterAutospacing="0"/>
              <w:ind w:left="0" w:right="0"/>
              <w:jc w:val="center"/>
              <w:rPr>
                <w:rFonts w:hint="default" w:cs="宋体"/>
                <w:b/>
                <w:bCs/>
                <w:color w:val="000000"/>
                <w:sz w:val="20"/>
                <w:szCs w:val="20"/>
              </w:rPr>
            </w:pP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6</w:t>
            </w:r>
            <w:r>
              <w:rPr>
                <w:rFonts w:hint="eastAsia" w:cs="宋体"/>
                <w:color w:val="000000"/>
                <w:kern w:val="0"/>
                <w:sz w:val="20"/>
                <w:szCs w:val="20"/>
                <w:lang w:val="en-US" w:eastAsia="zh-CN" w:bidi="ar"/>
              </w:rPr>
              <w:t>0</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示范片区居民点梳理式改造</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2024-2027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规划面积约 61.8 亩，改造建筑面积 74160</w:t>
            </w:r>
            <w:r>
              <w:rPr>
                <w:rFonts w:hint="eastAsia" w:cs="宋体"/>
                <w:color w:val="000000"/>
                <w:kern w:val="0"/>
                <w:sz w:val="20"/>
                <w:szCs w:val="20"/>
                <w:lang w:bidi="ar"/>
              </w:rPr>
              <w:br w:type="textWrapping"/>
            </w:r>
            <w:r>
              <w:rPr>
                <w:rFonts w:hint="eastAsia" w:cs="宋体"/>
                <w:color w:val="000000"/>
                <w:kern w:val="0"/>
                <w:sz w:val="20"/>
                <w:szCs w:val="20"/>
                <w:lang w:bidi="ar"/>
              </w:rPr>
              <w:t>平方米</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7.7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4.0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主体完成50%</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农商集团</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6</w:t>
            </w:r>
            <w:r>
              <w:rPr>
                <w:rFonts w:hint="eastAsia" w:cs="宋体"/>
                <w:color w:val="000000"/>
                <w:kern w:val="0"/>
                <w:sz w:val="20"/>
                <w:szCs w:val="20"/>
                <w:lang w:val="en-US" w:eastAsia="zh-CN"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龙津实验学校扩建工程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2024-2026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用地面积13600平方米，其中地上8600平方米，地下5000平方米，扩建规模24班。</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w:t>
            </w:r>
            <w:r>
              <w:rPr>
                <w:rFonts w:hint="eastAsia" w:cs="宋体"/>
                <w:color w:val="000000"/>
                <w:kern w:val="0"/>
                <w:sz w:val="20"/>
                <w:szCs w:val="20"/>
                <w:lang w:val="en-US" w:eastAsia="zh-CN" w:bidi="ar"/>
              </w:rPr>
              <w:t>2</w:t>
            </w:r>
            <w:r>
              <w:rPr>
                <w:rFonts w:hint="eastAsia" w:cs="宋体"/>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0.8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主体完工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待定</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6</w:t>
            </w:r>
            <w:r>
              <w:rPr>
                <w:rFonts w:hint="eastAsia" w:cs="宋体"/>
                <w:color w:val="000000"/>
                <w:kern w:val="0"/>
                <w:sz w:val="20"/>
                <w:szCs w:val="20"/>
                <w:lang w:val="en-US" w:eastAsia="zh-CN" w:bidi="ar"/>
              </w:rPr>
              <w:t>2</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实验小学扩建工程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2024-2026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用地面积13600平方米，其中地上8600平方米，地下5000平方米，扩建规模24班。</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1.</w:t>
            </w:r>
            <w:r>
              <w:rPr>
                <w:rFonts w:hint="eastAsia" w:cs="宋体"/>
                <w:color w:val="000000"/>
                <w:kern w:val="0"/>
                <w:sz w:val="20"/>
                <w:szCs w:val="20"/>
                <w:lang w:val="en-US" w:eastAsia="zh-CN" w:bidi="ar"/>
              </w:rPr>
              <w:t>2</w:t>
            </w:r>
            <w:r>
              <w:rPr>
                <w:rFonts w:hint="eastAsia" w:cs="宋体"/>
                <w:color w:val="000000"/>
                <w:kern w:val="0"/>
                <w:sz w:val="20"/>
                <w:szCs w:val="20"/>
                <w:lang w:bidi="ar"/>
              </w:rPr>
              <w:t xml:space="preserve">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0.8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主体完工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待定</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6</w:t>
            </w:r>
            <w:r>
              <w:rPr>
                <w:rFonts w:hint="eastAsia" w:cs="宋体"/>
                <w:color w:val="000000"/>
                <w:kern w:val="0"/>
                <w:sz w:val="20"/>
                <w:szCs w:val="20"/>
                <w:lang w:val="en-US" w:eastAsia="zh-CN" w:bidi="ar"/>
              </w:rPr>
              <w:t>3</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职教中心迁建工程</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2025-2030</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待定，预估200亩</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8.0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2.0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开工建设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待定</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highlight w:val="none"/>
                <w:lang w:eastAsia="zh-CN"/>
              </w:rPr>
            </w:pPr>
            <w:r>
              <w:rPr>
                <w:rFonts w:hint="eastAsia" w:cs="宋体"/>
                <w:color w:val="000000"/>
                <w:kern w:val="0"/>
                <w:sz w:val="20"/>
                <w:szCs w:val="20"/>
                <w:highlight w:val="none"/>
                <w:lang w:bidi="ar"/>
              </w:rPr>
              <w:t>6</w:t>
            </w:r>
            <w:r>
              <w:rPr>
                <w:rFonts w:hint="eastAsia" w:cs="宋体"/>
                <w:color w:val="000000"/>
                <w:kern w:val="0"/>
                <w:sz w:val="20"/>
                <w:szCs w:val="20"/>
                <w:highlight w:val="none"/>
                <w:lang w:val="en-US" w:eastAsia="zh-CN" w:bidi="ar"/>
              </w:rPr>
              <w:t>4</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bidi="ar"/>
              </w:rPr>
              <w:t>宁波通源医院</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bidi="ar"/>
              </w:rPr>
              <w:t>202</w:t>
            </w:r>
            <w:r>
              <w:rPr>
                <w:rFonts w:hint="eastAsia" w:cs="宋体"/>
                <w:color w:val="000000"/>
                <w:kern w:val="0"/>
                <w:sz w:val="20"/>
                <w:szCs w:val="20"/>
                <w:highlight w:val="none"/>
                <w:lang w:val="en-US" w:eastAsia="zh-CN" w:bidi="ar"/>
              </w:rPr>
              <w:t>2</w:t>
            </w:r>
            <w:r>
              <w:rPr>
                <w:rFonts w:hint="eastAsia" w:cs="宋体"/>
                <w:color w:val="000000"/>
                <w:kern w:val="0"/>
                <w:sz w:val="20"/>
                <w:szCs w:val="20"/>
                <w:highlight w:val="none"/>
                <w:lang w:bidi="ar"/>
              </w:rPr>
              <w:t>-202</w:t>
            </w:r>
            <w:r>
              <w:rPr>
                <w:rFonts w:hint="eastAsia" w:cs="宋体"/>
                <w:color w:val="000000"/>
                <w:kern w:val="0"/>
                <w:sz w:val="20"/>
                <w:szCs w:val="20"/>
                <w:highlight w:val="none"/>
                <w:lang w:val="en-US" w:eastAsia="zh-CN" w:bidi="ar"/>
              </w:rPr>
              <w:t>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highlight w:val="none"/>
              </w:rPr>
            </w:pPr>
            <w:r>
              <w:rPr>
                <w:rFonts w:hint="eastAsia" w:cs="宋体"/>
                <w:color w:val="000000"/>
                <w:kern w:val="0"/>
                <w:sz w:val="20"/>
                <w:szCs w:val="20"/>
                <w:highlight w:val="none"/>
                <w:lang w:bidi="ar"/>
              </w:rPr>
              <w:t>总用地面积约</w:t>
            </w:r>
            <w:r>
              <w:rPr>
                <w:rFonts w:hint="eastAsia" w:cs="宋体"/>
                <w:color w:val="000000"/>
                <w:kern w:val="0"/>
                <w:sz w:val="20"/>
                <w:szCs w:val="20"/>
                <w:highlight w:val="none"/>
                <w:lang w:val="en-US" w:eastAsia="zh-CN" w:bidi="ar"/>
              </w:rPr>
              <w:t>690</w:t>
            </w:r>
            <w:r>
              <w:rPr>
                <w:rFonts w:hint="eastAsia" w:cs="宋体"/>
                <w:color w:val="000000"/>
                <w:kern w:val="0"/>
                <w:sz w:val="20"/>
                <w:szCs w:val="20"/>
                <w:highlight w:val="none"/>
                <w:lang w:bidi="ar"/>
              </w:rPr>
              <w:t>亩，总建筑面积约50万平方米。主要建设内容为三级综合医院、干细胞研究中心、再生医学中心等</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val="en-US" w:eastAsia="zh-CN" w:bidi="ar"/>
              </w:rPr>
              <w:t>5</w:t>
            </w:r>
            <w:r>
              <w:rPr>
                <w:rFonts w:hint="eastAsia" w:cs="宋体"/>
                <w:color w:val="000000"/>
                <w:kern w:val="0"/>
                <w:sz w:val="20"/>
                <w:szCs w:val="20"/>
                <w:highlight w:val="none"/>
                <w:lang w:bidi="ar"/>
              </w:rPr>
              <w:t xml:space="preserve">0.0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val="en-US" w:eastAsia="zh-CN" w:bidi="ar"/>
              </w:rPr>
              <w:t>6</w:t>
            </w:r>
            <w:r>
              <w:rPr>
                <w:rFonts w:hint="eastAsia" w:cs="宋体"/>
                <w:color w:val="000000"/>
                <w:kern w:val="0"/>
                <w:sz w:val="20"/>
                <w:szCs w:val="20"/>
                <w:highlight w:val="none"/>
                <w:lang w:bidi="ar"/>
              </w:rPr>
              <w:t xml:space="preserve">.0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val="en-US" w:eastAsia="zh-CN" w:bidi="ar"/>
              </w:rPr>
              <w:t>一期基本完工，二期</w:t>
            </w:r>
            <w:r>
              <w:rPr>
                <w:rFonts w:hint="eastAsia" w:cs="宋体"/>
                <w:color w:val="000000"/>
                <w:kern w:val="0"/>
                <w:sz w:val="20"/>
                <w:szCs w:val="20"/>
                <w:highlight w:val="none"/>
                <w:lang w:bidi="ar"/>
              </w:rPr>
              <w:t>开工建设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滨海旅游区管理中心</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6</w:t>
            </w:r>
            <w:r>
              <w:rPr>
                <w:rFonts w:hint="eastAsia" w:cs="宋体"/>
                <w:color w:val="000000"/>
                <w:kern w:val="0"/>
                <w:sz w:val="20"/>
                <w:szCs w:val="20"/>
                <w:lang w:val="en-US" w:eastAsia="zh-CN" w:bidi="ar"/>
              </w:rPr>
              <w:t>5</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滨海养生小镇海岸休闲带项目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w:t>
            </w:r>
            <w:r>
              <w:rPr>
                <w:rFonts w:hint="eastAsia" w:cs="宋体"/>
                <w:color w:val="000000"/>
                <w:kern w:val="0"/>
                <w:sz w:val="20"/>
                <w:szCs w:val="20"/>
                <w:lang w:val="en-US" w:eastAsia="zh-CN" w:bidi="ar"/>
              </w:rPr>
              <w:t>4</w:t>
            </w:r>
            <w:r>
              <w:rPr>
                <w:rFonts w:hint="eastAsia" w:cs="宋体"/>
                <w:color w:val="000000"/>
                <w:kern w:val="0"/>
                <w:sz w:val="20"/>
                <w:szCs w:val="20"/>
                <w:lang w:bidi="ar"/>
              </w:rPr>
              <w:t>-202</w:t>
            </w:r>
            <w:r>
              <w:rPr>
                <w:rFonts w:hint="eastAsia" w:cs="宋体"/>
                <w:color w:val="000000"/>
                <w:kern w:val="0"/>
                <w:sz w:val="20"/>
                <w:szCs w:val="20"/>
                <w:lang w:val="en-US" w:eastAsia="zh-CN" w:bidi="ar"/>
              </w:rPr>
              <w:t>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全长1.71公里，通过真空预压、砂质岸线整治、植被景观改造等措施进行修复</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1.1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1.1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滨海旅游区管理中心</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eastAsia="宋体" w:cs="宋体"/>
                <w:color w:val="000000"/>
                <w:sz w:val="20"/>
                <w:szCs w:val="20"/>
                <w:lang w:eastAsia="zh-CN"/>
              </w:rPr>
            </w:pPr>
            <w:r>
              <w:rPr>
                <w:rFonts w:hint="eastAsia" w:cs="宋体"/>
                <w:color w:val="000000"/>
                <w:kern w:val="0"/>
                <w:sz w:val="20"/>
                <w:szCs w:val="20"/>
                <w:lang w:bidi="ar"/>
              </w:rPr>
              <w:t>6</w:t>
            </w:r>
            <w:r>
              <w:rPr>
                <w:rFonts w:hint="eastAsia" w:cs="宋体"/>
                <w:color w:val="000000"/>
                <w:kern w:val="0"/>
                <w:sz w:val="20"/>
                <w:szCs w:val="20"/>
                <w:lang w:val="en-US" w:eastAsia="zh-CN" w:bidi="ar"/>
              </w:rPr>
              <w:t>6</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游客集散中心项目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2024-2026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总面积约105亩，总建筑面积约10万平方米。主要建设内容为商旅、文化、游客服务功能于一体的集散中心</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 xml:space="preserve">4.0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 xml:space="preserve">1.0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开工建设</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交投集团</w:t>
            </w:r>
          </w:p>
        </w:tc>
      </w:tr>
      <w:tr>
        <w:tblPrEx>
          <w:tblCellMar>
            <w:top w:w="0" w:type="dxa"/>
            <w:left w:w="108" w:type="dxa"/>
            <w:bottom w:w="0" w:type="dxa"/>
            <w:right w:w="108" w:type="dxa"/>
          </w:tblCellMar>
        </w:tblPrEx>
        <w:trPr>
          <w:trHeight w:val="865"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67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西环线中石油加油站迁址（西环线征地范围）</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2024-2026</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0.53公顷</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 xml:space="preserve">2.0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default" w:cs="宋体"/>
                <w:color w:val="000000"/>
                <w:kern w:val="0"/>
                <w:sz w:val="20"/>
                <w:szCs w:val="20"/>
                <w:lang w:bidi="ar"/>
              </w:rPr>
              <w:t xml:space="preserve">1.0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开工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0"/>
                <w:szCs w:val="20"/>
                <w:lang w:bidi="ar"/>
              </w:rPr>
            </w:pPr>
            <w:r>
              <w:rPr>
                <w:rFonts w:hint="eastAsia" w:cs="宋体"/>
                <w:color w:val="000000"/>
                <w:kern w:val="0"/>
                <w:sz w:val="20"/>
                <w:szCs w:val="20"/>
                <w:lang w:bidi="ar"/>
              </w:rPr>
              <w:t>尚田街道</w:t>
            </w:r>
          </w:p>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交投集团</w:t>
            </w:r>
          </w:p>
        </w:tc>
      </w:tr>
      <w:tr>
        <w:tblPrEx>
          <w:tblCellMar>
            <w:top w:w="0" w:type="dxa"/>
            <w:left w:w="108" w:type="dxa"/>
            <w:bottom w:w="0" w:type="dxa"/>
            <w:right w:w="108" w:type="dxa"/>
          </w:tblCellMar>
        </w:tblPrEx>
        <w:trPr>
          <w:trHeight w:val="367"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lang w:val="en-US" w:eastAsia="zh-CN"/>
              </w:rPr>
            </w:pPr>
            <w:r>
              <w:rPr>
                <w:rFonts w:hint="eastAsia" w:cs="宋体"/>
                <w:color w:val="000000"/>
                <w:kern w:val="0"/>
                <w:sz w:val="20"/>
                <w:szCs w:val="20"/>
                <w:lang w:val="en-US" w:eastAsia="zh-CN" w:bidi="ar"/>
              </w:rPr>
              <w:t>68</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舒家蓝领公寓项目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2023-2025</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rPr>
            </w:pPr>
            <w:r>
              <w:rPr>
                <w:rFonts w:hint="eastAsia" w:cs="宋体"/>
                <w:color w:val="000000"/>
                <w:kern w:val="0"/>
                <w:sz w:val="20"/>
                <w:szCs w:val="20"/>
                <w:lang w:bidi="ar"/>
              </w:rPr>
              <w:t>本项目由1幢蓝领公寓及配套用房组成，用地面积4845平方 米，总建筑面积约为20892.81平方米，其中地上计容建筑 面积约为14597.95平方米，地下建筑面积约为6294.86平方米</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1.7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 xml:space="preserve">1.7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完工</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岳林街道</w:t>
            </w:r>
          </w:p>
        </w:tc>
      </w:tr>
      <w:tr>
        <w:tblPrEx>
          <w:tblCellMar>
            <w:top w:w="0" w:type="dxa"/>
            <w:left w:w="108" w:type="dxa"/>
            <w:bottom w:w="0" w:type="dxa"/>
            <w:right w:w="108" w:type="dxa"/>
          </w:tblCellMar>
        </w:tblPrEx>
        <w:trPr>
          <w:trHeight w:val="484" w:hRule="atLeast"/>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sz w:val="20"/>
                <w:szCs w:val="20"/>
                <w:highlight w:val="none"/>
                <w:lang w:val="en-US" w:eastAsia="zh-CN"/>
              </w:rPr>
            </w:pPr>
            <w:r>
              <w:rPr>
                <w:rFonts w:hint="eastAsia" w:cs="宋体"/>
                <w:color w:val="000000"/>
                <w:kern w:val="0"/>
                <w:sz w:val="20"/>
                <w:szCs w:val="20"/>
                <w:highlight w:val="none"/>
                <w:lang w:val="en-US" w:eastAsia="zh-CN" w:bidi="ar"/>
              </w:rPr>
              <w:t>69</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bidi="ar"/>
              </w:rPr>
              <w:t>宁波市奉化区西部公益性墓地建设项目</w:t>
            </w:r>
          </w:p>
        </w:tc>
        <w:tc>
          <w:tcPr>
            <w:tcW w:w="11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bidi="ar"/>
              </w:rPr>
              <w:t>2025-2027</w:t>
            </w:r>
          </w:p>
        </w:tc>
        <w:tc>
          <w:tcPr>
            <w:tcW w:w="44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0"/>
                <w:szCs w:val="20"/>
                <w:highlight w:val="none"/>
              </w:rPr>
            </w:pPr>
            <w:r>
              <w:rPr>
                <w:rFonts w:hint="eastAsia" w:cs="宋体"/>
                <w:color w:val="000000"/>
                <w:kern w:val="0"/>
                <w:sz w:val="20"/>
                <w:szCs w:val="20"/>
                <w:highlight w:val="none"/>
                <w:lang w:bidi="ar"/>
              </w:rPr>
              <w:t>新建墓穴、综合服务中心、告别楼、环卫站、亭廊、公共景观绿化、停车楼、铺装广场、车型道路及相应市政配套设施等</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bidi="ar"/>
              </w:rPr>
              <w:t xml:space="preserve">1.3 </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bidi="ar"/>
              </w:rPr>
              <w:t xml:space="preserve">0.3 </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highlight w:val="none"/>
              </w:rPr>
            </w:pPr>
            <w:r>
              <w:rPr>
                <w:rFonts w:hint="eastAsia" w:cs="宋体"/>
                <w:color w:val="000000"/>
                <w:kern w:val="0"/>
                <w:sz w:val="20"/>
                <w:szCs w:val="20"/>
                <w:highlight w:val="none"/>
                <w:lang w:bidi="ar"/>
              </w:rPr>
              <w:t>完成总工程量20%</w:t>
            </w: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0"/>
                <w:szCs w:val="20"/>
              </w:rPr>
            </w:pPr>
            <w:r>
              <w:rPr>
                <w:rFonts w:hint="eastAsia" w:cs="宋体"/>
                <w:color w:val="000000"/>
                <w:kern w:val="0"/>
                <w:sz w:val="20"/>
                <w:szCs w:val="20"/>
                <w:lang w:bidi="ar"/>
              </w:rPr>
              <w:t>溪口镇</w:t>
            </w:r>
          </w:p>
        </w:tc>
      </w:tr>
      <w:tr>
        <w:tblPrEx>
          <w:tblCellMar>
            <w:top w:w="0" w:type="dxa"/>
            <w:left w:w="108" w:type="dxa"/>
            <w:bottom w:w="0" w:type="dxa"/>
            <w:right w:w="108" w:type="dxa"/>
          </w:tblCellMar>
        </w:tblPrEx>
        <w:trPr>
          <w:trHeight w:val="484" w:hRule="atLeast"/>
        </w:trPr>
        <w:tc>
          <w:tcPr>
            <w:tcW w:w="838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cs="宋体"/>
                <w:b/>
                <w:bCs/>
                <w:color w:val="000000"/>
                <w:kern w:val="0"/>
                <w:sz w:val="20"/>
                <w:szCs w:val="20"/>
                <w:highlight w:val="none"/>
                <w:lang w:bidi="ar"/>
              </w:rPr>
            </w:pPr>
            <w:r>
              <w:rPr>
                <w:rFonts w:hint="eastAsia" w:cs="宋体"/>
                <w:b/>
                <w:bCs/>
                <w:color w:val="000000"/>
                <w:kern w:val="0"/>
                <w:sz w:val="20"/>
                <w:szCs w:val="20"/>
                <w:highlight w:val="none"/>
                <w:lang w:val="en-US" w:eastAsia="zh-CN" w:bidi="ar"/>
              </w:rPr>
              <w:t>合计82个项目</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b/>
                <w:bCs/>
                <w:color w:val="000000"/>
                <w:kern w:val="0"/>
                <w:sz w:val="20"/>
                <w:szCs w:val="20"/>
                <w:highlight w:val="none"/>
                <w:lang w:val="en-US" w:eastAsia="zh-CN" w:bidi="ar"/>
              </w:rPr>
            </w:pPr>
            <w:r>
              <w:rPr>
                <w:rFonts w:hint="eastAsia" w:cs="宋体"/>
                <w:b/>
                <w:bCs/>
                <w:color w:val="000000"/>
                <w:kern w:val="0"/>
                <w:sz w:val="20"/>
                <w:szCs w:val="20"/>
                <w:highlight w:val="none"/>
                <w:lang w:val="en-US" w:eastAsia="zh-CN" w:bidi="ar"/>
              </w:rPr>
              <w:t>552.5</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b/>
                <w:bCs/>
                <w:color w:val="000000"/>
                <w:kern w:val="0"/>
                <w:sz w:val="20"/>
                <w:szCs w:val="20"/>
                <w:highlight w:val="none"/>
                <w:lang w:val="en-US" w:eastAsia="zh-CN" w:bidi="ar"/>
              </w:rPr>
            </w:pPr>
            <w:r>
              <w:rPr>
                <w:rFonts w:hint="eastAsia" w:cs="宋体"/>
                <w:b/>
                <w:bCs/>
                <w:color w:val="000000"/>
                <w:kern w:val="0"/>
                <w:sz w:val="20"/>
                <w:szCs w:val="20"/>
                <w:highlight w:val="none"/>
                <w:lang w:val="en-US" w:eastAsia="zh-CN" w:bidi="ar"/>
              </w:rPr>
              <w:t>231.5</w:t>
            </w:r>
          </w:p>
        </w:tc>
        <w:tc>
          <w:tcPr>
            <w:tcW w:w="2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0"/>
                <w:szCs w:val="20"/>
                <w:highlight w:val="none"/>
                <w:lang w:bidi="ar"/>
              </w:rPr>
            </w:pPr>
          </w:p>
        </w:tc>
        <w:tc>
          <w:tcPr>
            <w:tcW w:w="1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cs="宋体"/>
                <w:color w:val="000000"/>
                <w:kern w:val="0"/>
                <w:sz w:val="20"/>
                <w:szCs w:val="20"/>
                <w:lang w:bidi="ar"/>
              </w:rPr>
            </w:pPr>
          </w:p>
        </w:tc>
      </w:tr>
    </w:tbl>
    <w:p>
      <w:pPr>
        <w:keepNext/>
        <w:keepLines/>
        <w:spacing w:line="580" w:lineRule="exact"/>
        <w:rPr>
          <w:rFonts w:eastAsia="黑体" w:cs="黑体"/>
          <w:bCs/>
          <w:sz w:val="32"/>
          <w:szCs w:val="32"/>
        </w:rPr>
        <w:sectPr>
          <w:pgSz w:w="16838" w:h="11906" w:orient="landscape"/>
          <w:pgMar w:top="1797" w:right="1440" w:bottom="1797" w:left="1440" w:header="851" w:footer="992" w:gutter="0"/>
          <w:cols w:space="720" w:num="1"/>
          <w:docGrid w:type="lines" w:linePitch="319" w:charSpace="0"/>
        </w:sectPr>
      </w:pPr>
    </w:p>
    <w:p>
      <w:pPr>
        <w:keepNext/>
        <w:keepLines/>
        <w:spacing w:line="580" w:lineRule="exact"/>
        <w:outlineLvl w:val="0"/>
        <w:rPr>
          <w:rFonts w:hint="eastAsia" w:ascii="黑体" w:hAnsi="黑体" w:eastAsia="黑体" w:cs="黑体"/>
          <w:bCs/>
          <w:sz w:val="32"/>
          <w:szCs w:val="32"/>
          <w:lang w:eastAsia="zh-CN"/>
        </w:rPr>
      </w:pPr>
      <w:bookmarkStart w:id="103" w:name="_Toc3009"/>
      <w:bookmarkStart w:id="104" w:name="_Toc29867"/>
      <w:bookmarkStart w:id="105" w:name="_Toc17919"/>
      <w:r>
        <w:rPr>
          <w:rFonts w:hint="eastAsia" w:ascii="黑体" w:hAnsi="黑体" w:eastAsia="黑体" w:cs="黑体"/>
          <w:kern w:val="44"/>
          <w:sz w:val="32"/>
          <w:szCs w:val="32"/>
        </w:rPr>
        <w:t xml:space="preserve">附表4  </w:t>
      </w:r>
      <w:r>
        <w:rPr>
          <w:rFonts w:hint="eastAsia" w:ascii="黑体" w:hAnsi="黑体" w:eastAsia="黑体" w:cs="黑体"/>
          <w:kern w:val="44"/>
          <w:sz w:val="32"/>
          <w:szCs w:val="32"/>
          <w:lang w:val="en-US" w:eastAsia="zh-CN"/>
        </w:rPr>
        <w:t xml:space="preserve">           </w:t>
      </w:r>
      <w:r>
        <w:rPr>
          <w:rFonts w:hint="eastAsia" w:ascii="黑体" w:hAnsi="黑体" w:eastAsia="黑体" w:cs="黑体"/>
          <w:kern w:val="44"/>
          <w:sz w:val="32"/>
          <w:szCs w:val="32"/>
        </w:rPr>
        <w:t>开发边界以外项目</w:t>
      </w:r>
      <w:bookmarkEnd w:id="103"/>
      <w:bookmarkEnd w:id="104"/>
      <w:bookmarkEnd w:id="105"/>
    </w:p>
    <w:tbl>
      <w:tblPr>
        <w:tblStyle w:val="19"/>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4257"/>
        <w:gridCol w:w="1605"/>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4"/>
              </w:rPr>
            </w:pPr>
            <w:r>
              <w:rPr>
                <w:rFonts w:hint="eastAsia" w:cs="宋体"/>
                <w:b/>
                <w:bCs/>
                <w:color w:val="000000"/>
                <w:kern w:val="0"/>
                <w:sz w:val="24"/>
                <w:lang w:bidi="ar"/>
              </w:rPr>
              <w:t>序号</w:t>
            </w:r>
          </w:p>
        </w:tc>
        <w:tc>
          <w:tcPr>
            <w:tcW w:w="4257"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4"/>
              </w:rPr>
            </w:pPr>
            <w:r>
              <w:rPr>
                <w:rFonts w:hint="eastAsia" w:cs="宋体"/>
                <w:b/>
                <w:bCs/>
                <w:color w:val="000000"/>
                <w:kern w:val="0"/>
                <w:sz w:val="24"/>
                <w:lang w:bidi="ar"/>
              </w:rPr>
              <w:t>项目名称</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cs="宋体"/>
                <w:b/>
                <w:bCs/>
                <w:color w:val="000000"/>
                <w:kern w:val="0"/>
                <w:sz w:val="24"/>
                <w:lang w:bidi="ar"/>
              </w:rPr>
            </w:pPr>
            <w:r>
              <w:rPr>
                <w:rFonts w:hint="eastAsia" w:cs="宋体"/>
                <w:b/>
                <w:bCs/>
                <w:color w:val="000000"/>
                <w:kern w:val="0"/>
                <w:sz w:val="24"/>
                <w:lang w:bidi="ar"/>
              </w:rPr>
              <w:t>用地规模</w:t>
            </w:r>
          </w:p>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4"/>
              </w:rPr>
            </w:pPr>
            <w:r>
              <w:rPr>
                <w:rFonts w:hint="eastAsia" w:cs="宋体"/>
                <w:b/>
                <w:bCs/>
                <w:color w:val="000000"/>
                <w:kern w:val="0"/>
                <w:sz w:val="24"/>
                <w:lang w:bidi="ar"/>
              </w:rPr>
              <w:t>（平方米）</w:t>
            </w:r>
          </w:p>
        </w:tc>
        <w:tc>
          <w:tcPr>
            <w:tcW w:w="1944"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b/>
                <w:bCs/>
                <w:color w:val="000000"/>
                <w:sz w:val="24"/>
              </w:rPr>
            </w:pPr>
            <w:r>
              <w:rPr>
                <w:rFonts w:hint="eastAsia" w:cs="宋体"/>
                <w:b/>
                <w:bCs/>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525" w:type="dxa"/>
            <w:gridSpan w:val="4"/>
            <w:vAlign w:val="center"/>
          </w:tcPr>
          <w:p>
            <w:pPr>
              <w:keepNext w:val="0"/>
              <w:keepLines w:val="0"/>
              <w:suppressLineNumbers w:val="0"/>
              <w:spacing w:before="0" w:beforeAutospacing="0" w:after="0" w:afterAutospacing="0"/>
              <w:ind w:left="0" w:right="0"/>
              <w:rPr>
                <w:rFonts w:hint="default" w:cs="宋体"/>
                <w:color w:val="000000"/>
                <w:sz w:val="24"/>
              </w:rPr>
            </w:pPr>
            <w:r>
              <w:rPr>
                <w:rFonts w:hint="eastAsia" w:cs="宋体"/>
                <w:b/>
                <w:bCs/>
                <w:color w:val="000000"/>
                <w:kern w:val="0"/>
                <w:sz w:val="24"/>
                <w:lang w:bidi="ar"/>
              </w:rPr>
              <w:t>一、科技创新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4"/>
              </w:rPr>
            </w:pPr>
            <w:r>
              <w:rPr>
                <w:rFonts w:hint="eastAsia" w:cs="宋体"/>
                <w:color w:val="000000"/>
                <w:kern w:val="0"/>
                <w:sz w:val="24"/>
                <w:lang w:bidi="ar"/>
              </w:rPr>
              <w:t>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4"/>
              </w:rPr>
            </w:pPr>
            <w:r>
              <w:rPr>
                <w:rFonts w:hint="eastAsia" w:cs="宋体"/>
                <w:color w:val="000000"/>
                <w:kern w:val="0"/>
                <w:sz w:val="24"/>
                <w:lang w:bidi="ar"/>
              </w:rPr>
              <w:t>奉化龙潭科研项目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4"/>
              </w:rPr>
            </w:pPr>
            <w:r>
              <w:rPr>
                <w:rFonts w:hint="eastAsia" w:cs="宋体"/>
                <w:color w:val="000000"/>
                <w:kern w:val="0"/>
                <w:sz w:val="24"/>
                <w:lang w:bidi="ar"/>
              </w:rPr>
              <w:t xml:space="preserve">9666.67 </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4"/>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525" w:type="dxa"/>
            <w:gridSpan w:val="4"/>
            <w:vAlign w:val="center"/>
          </w:tcPr>
          <w:p>
            <w:pPr>
              <w:keepNext w:val="0"/>
              <w:keepLines w:val="0"/>
              <w:suppressLineNumbers w:val="0"/>
              <w:spacing w:before="0" w:beforeAutospacing="0" w:after="0" w:afterAutospacing="0"/>
              <w:ind w:left="0" w:right="0"/>
              <w:rPr>
                <w:rFonts w:hint="default" w:cs="宋体"/>
                <w:color w:val="000000"/>
                <w:sz w:val="24"/>
              </w:rPr>
            </w:pPr>
            <w:r>
              <w:rPr>
                <w:rFonts w:hint="eastAsia" w:cs="宋体"/>
                <w:b/>
                <w:bCs/>
                <w:color w:val="000000"/>
                <w:kern w:val="0"/>
                <w:sz w:val="24"/>
                <w:lang w:bidi="ar"/>
              </w:rPr>
              <w:t>二、现代产业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4"/>
              </w:rPr>
            </w:pPr>
            <w:r>
              <w:rPr>
                <w:rFonts w:hint="eastAsia" w:cs="宋体"/>
                <w:color w:val="000000"/>
                <w:kern w:val="0"/>
                <w:sz w:val="24"/>
                <w:lang w:bidi="ar"/>
              </w:rPr>
              <w:t>翁岙工业区南侧地块（八号、九号地块）</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4"/>
              </w:rPr>
            </w:pPr>
            <w:r>
              <w:rPr>
                <w:rFonts w:hint="eastAsia" w:cs="宋体"/>
                <w:color w:val="000000"/>
                <w:kern w:val="0"/>
                <w:sz w:val="24"/>
                <w:lang w:bidi="ar"/>
              </w:rPr>
              <w:t>18733</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cs="宋体"/>
                <w:color w:val="000000"/>
                <w:sz w:val="24"/>
              </w:rPr>
            </w:pPr>
            <w:r>
              <w:rPr>
                <w:rFonts w:hint="eastAsia" w:cs="宋体"/>
                <w:color w:val="000000"/>
                <w:kern w:val="0"/>
                <w:sz w:val="24"/>
                <w:lang w:bidi="ar"/>
              </w:rPr>
              <w:t>已列入新增重大项目表（谋划类）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cs="宋体"/>
                <w:color w:val="000000"/>
                <w:sz w:val="24"/>
              </w:rPr>
            </w:pPr>
            <w:r>
              <w:rPr>
                <w:rFonts w:hint="eastAsia" w:cs="宋体"/>
                <w:color w:val="000000"/>
                <w:kern w:val="0"/>
                <w:sz w:val="24"/>
                <w:lang w:bidi="ar"/>
              </w:rPr>
              <w:t xml:space="preserve">雪窦山景区基础设施及周边景观提升项目（寺前广场） </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4"/>
              </w:rPr>
            </w:pPr>
            <w:r>
              <w:rPr>
                <w:rFonts w:hint="eastAsia" w:cs="宋体"/>
                <w:color w:val="000000"/>
                <w:kern w:val="0"/>
                <w:sz w:val="24"/>
                <w:lang w:bidi="ar"/>
              </w:rPr>
              <w:t xml:space="preserve">64000 </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cs="宋体"/>
                <w:color w:val="000000"/>
                <w:sz w:val="24"/>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宁波湾旅游度假区东区文旅项目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48277</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南岙村康养旅游综合体</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13873</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木家湾项目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31486</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黄贤景区提升改造项目二期</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114556.1</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宁波滨海健康旅游小镇浙江船厂地块项目（暂命名）</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276382.64 </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奉化龙潭文旅项目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20000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10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大堰镇文旅项目（宿集）项目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50061.6</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r>
              <w:rPr>
                <w:rFonts w:hint="default" w:cs="宋体"/>
                <w:color w:val="000000"/>
                <w:sz w:val="24"/>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11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峰景湾项目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5666.1</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12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倪家山民宿项目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17850</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13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慈林村民宿项目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5666.1</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14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大堰镇里新屋民宿项目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7299.3</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15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外应村农文旅项目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11998.8</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16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大堰镇里洞坑民宿项目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10333.2</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17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白鹭源生态文化产业园</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352000</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18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剡水田园一期区块耕地功能恢复提升整治工程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14000</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19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奉化区现代化农业园区</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18667</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20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奉化区数智农业产业园</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4333</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21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宁波数字化蔬菜直供（保供）基地项目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18000</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22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宁波文创智慧农业有限公司</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13333</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23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奉化市九岙农场</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3333</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24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奉化数字渔港经济长三角互联网水产商贸中心</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159900</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25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袁岙村中草药初加工基地</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35000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26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桐照风情渔港基地</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217198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27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莼湖街道市场搬迁</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12466</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已列入新增重大项目表（谋划类）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28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鲒埼村集体市场搬迁</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4193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bidi="ar"/>
              </w:rPr>
              <w:t>29</w:t>
            </w:r>
          </w:p>
        </w:tc>
        <w:tc>
          <w:tcPr>
            <w:tcW w:w="4257" w:type="dxa"/>
            <w:vAlign w:val="center"/>
          </w:tcPr>
          <w:p>
            <w:pPr>
              <w:keepNext w:val="0"/>
              <w:keepLines w:val="0"/>
              <w:widowControl/>
              <w:suppressLineNumbers w:val="0"/>
              <w:spacing w:before="0" w:beforeAutospacing="0" w:after="0" w:afterAutospacing="0"/>
              <w:ind w:left="0" w:right="0"/>
              <w:jc w:val="both"/>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中心渔港桐照码头综合开发利用项目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ascii="Times New Roman" w:hAnsi="Times New Roman" w:eastAsia="宋体" w:cs="宋体"/>
                <w:i w:val="0"/>
                <w:iCs w:val="0"/>
                <w:color w:val="000000"/>
                <w:kern w:val="0"/>
                <w:sz w:val="24"/>
                <w:szCs w:val="24"/>
                <w:u w:val="none"/>
                <w:lang w:val="en-US" w:eastAsia="zh-CN" w:bidi="ar"/>
              </w:rPr>
              <w:t>/</w:t>
            </w:r>
          </w:p>
        </w:tc>
        <w:tc>
          <w:tcPr>
            <w:tcW w:w="1944"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ascii="Times New Roman" w:hAnsi="Times New Roman" w:eastAsia="宋体" w:cs="宋体"/>
                <w:i w:val="0"/>
                <w:iCs w:val="0"/>
                <w:color w:val="000000"/>
                <w:kern w:val="0"/>
                <w:sz w:val="24"/>
                <w:szCs w:val="24"/>
                <w:u w:val="none"/>
                <w:lang w:val="en-US" w:eastAsia="zh-CN"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30</w:t>
            </w:r>
          </w:p>
        </w:tc>
        <w:tc>
          <w:tcPr>
            <w:tcW w:w="4257" w:type="dxa"/>
            <w:vAlign w:val="center"/>
          </w:tcPr>
          <w:p>
            <w:pPr>
              <w:keepNext w:val="0"/>
              <w:keepLines w:val="0"/>
              <w:widowControl/>
              <w:suppressLineNumbers w:val="0"/>
              <w:spacing w:before="0" w:beforeAutospacing="0" w:after="0" w:afterAutospacing="0"/>
              <w:ind w:left="0" w:right="0"/>
              <w:jc w:val="both"/>
              <w:textAlignment w:val="center"/>
              <w:rPr>
                <w:rFonts w:hint="default" w:eastAsia="宋体" w:cs="宋体"/>
                <w:color w:val="000000"/>
                <w:kern w:val="0"/>
                <w:sz w:val="24"/>
                <w:lang w:val="en-US" w:eastAsia="zh-CN" w:bidi="ar"/>
              </w:rPr>
            </w:pPr>
            <w:r>
              <w:rPr>
                <w:rFonts w:hint="eastAsia" w:cs="宋体"/>
                <w:color w:val="000000"/>
                <w:kern w:val="0"/>
                <w:sz w:val="24"/>
                <w:lang w:val="en-US" w:eastAsia="zh-CN" w:bidi="ar"/>
              </w:rPr>
              <w:t>尚田楼岩白龙潭文旅项目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26.6亩</w:t>
            </w:r>
          </w:p>
        </w:tc>
        <w:tc>
          <w:tcPr>
            <w:tcW w:w="1944"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31</w:t>
            </w:r>
          </w:p>
        </w:tc>
        <w:tc>
          <w:tcPr>
            <w:tcW w:w="4257" w:type="dxa"/>
            <w:vAlign w:val="center"/>
          </w:tcPr>
          <w:p>
            <w:pPr>
              <w:keepNext w:val="0"/>
              <w:keepLines w:val="0"/>
              <w:widowControl/>
              <w:suppressLineNumbers w:val="0"/>
              <w:spacing w:before="0" w:beforeAutospacing="0" w:after="0" w:afterAutospacing="0"/>
              <w:ind w:left="0" w:right="0"/>
              <w:jc w:val="both"/>
              <w:textAlignment w:val="center"/>
              <w:rPr>
                <w:rFonts w:hint="default" w:eastAsia="宋体" w:cs="宋体"/>
                <w:color w:val="000000"/>
                <w:kern w:val="0"/>
                <w:sz w:val="24"/>
                <w:lang w:val="en-US" w:eastAsia="zh-CN" w:bidi="ar"/>
              </w:rPr>
            </w:pPr>
            <w:r>
              <w:rPr>
                <w:rFonts w:hint="eastAsia" w:cs="宋体"/>
                <w:color w:val="000000"/>
                <w:kern w:val="0"/>
                <w:sz w:val="24"/>
                <w:lang w:val="en-US" w:eastAsia="zh-CN" w:bidi="ar"/>
              </w:rPr>
              <w:t>尚田冷西农业发展项目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44.3亩</w:t>
            </w:r>
          </w:p>
        </w:tc>
        <w:tc>
          <w:tcPr>
            <w:tcW w:w="1944"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32</w:t>
            </w:r>
          </w:p>
        </w:tc>
        <w:tc>
          <w:tcPr>
            <w:tcW w:w="4257" w:type="dxa"/>
            <w:vAlign w:val="center"/>
          </w:tcPr>
          <w:p>
            <w:pPr>
              <w:keepNext w:val="0"/>
              <w:keepLines w:val="0"/>
              <w:widowControl/>
              <w:suppressLineNumbers w:val="0"/>
              <w:spacing w:before="0" w:beforeAutospacing="0" w:after="0" w:afterAutospacing="0"/>
              <w:ind w:left="0" w:right="0"/>
              <w:jc w:val="both"/>
              <w:textAlignment w:val="center"/>
              <w:rPr>
                <w:rFonts w:hint="default" w:eastAsia="宋体" w:cs="宋体"/>
                <w:color w:val="000000"/>
                <w:kern w:val="0"/>
                <w:sz w:val="24"/>
                <w:lang w:val="en-US" w:eastAsia="zh-CN" w:bidi="ar"/>
              </w:rPr>
            </w:pPr>
            <w:r>
              <w:rPr>
                <w:rFonts w:hint="eastAsia" w:cs="宋体"/>
                <w:color w:val="000000"/>
                <w:kern w:val="0"/>
                <w:sz w:val="24"/>
                <w:lang w:val="en-US" w:eastAsia="zh-CN" w:bidi="ar"/>
              </w:rPr>
              <w:t>运达股份奉化区60MW乡村振兴风电项目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15亩</w:t>
            </w:r>
          </w:p>
        </w:tc>
        <w:tc>
          <w:tcPr>
            <w:tcW w:w="1944"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5" w:type="dxa"/>
            <w:gridSpan w:val="4"/>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cs="宋体"/>
                <w:b/>
                <w:bCs/>
                <w:color w:val="000000"/>
                <w:kern w:val="0"/>
                <w:sz w:val="24"/>
                <w:lang w:bidi="ar"/>
              </w:rPr>
              <w:t>三、交通设施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33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宁波南部交通枢纽及配套工程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208327 </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34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弥勒大道拓宽工程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10.4km</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35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四明东路（S203 至奉钱线）道路工程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0.6km</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szCs w:val="24"/>
                <w:lang w:val="en-US" w:eastAsia="zh-CN" w:bidi="ar"/>
              </w:rPr>
              <w:t>36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X306县道（尚岭线）尚界线至葛岙水库段提升改造工程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6.7km</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3</w:t>
            </w:r>
            <w:r>
              <w:rPr>
                <w:rFonts w:hint="eastAsia" w:cs="宋体"/>
                <w:color w:val="000000"/>
                <w:kern w:val="0"/>
                <w:sz w:val="24"/>
                <w:lang w:val="en-US" w:eastAsia="zh-CN" w:bidi="ar"/>
              </w:rPr>
              <w:t>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旅游度假区道路及配套工程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162875</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38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健康旅游新城道路及配套工程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165986 </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39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sz w:val="24"/>
                <w:lang w:val="en-US" w:eastAsia="zh-CN"/>
              </w:rPr>
              <w:t>天妃大道东段公路工程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sz w:val="24"/>
                <w:lang w:val="en-US" w:eastAsia="zh-CN"/>
              </w:rPr>
              <w:t>39.3亩</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cs="宋体"/>
                <w:color w:val="000000"/>
                <w:kern w:val="0"/>
                <w:sz w:val="24"/>
                <w:lang w:val="en-US" w:eastAsia="zh-CN" w:bidi="ar"/>
              </w:rPr>
            </w:pPr>
            <w:r>
              <w:rPr>
                <w:rFonts w:hint="eastAsia" w:cs="宋体"/>
                <w:color w:val="000000"/>
                <w:kern w:val="0"/>
                <w:sz w:val="24"/>
                <w:lang w:val="en-US" w:eastAsia="zh-CN" w:bidi="ar"/>
              </w:rPr>
              <w:t>40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cs="宋体"/>
                <w:color w:val="000000"/>
                <w:sz w:val="24"/>
                <w:lang w:val="en-US" w:eastAsia="zh-CN"/>
              </w:rPr>
            </w:pPr>
            <w:r>
              <w:rPr>
                <w:rFonts w:hint="eastAsia" w:cs="宋体"/>
                <w:color w:val="000000"/>
                <w:sz w:val="24"/>
                <w:lang w:val="en-US" w:eastAsia="zh-CN"/>
              </w:rPr>
              <w:t>阳湖东路公路工程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sz w:val="24"/>
                <w:lang w:val="en-US" w:eastAsia="zh-CN"/>
              </w:rPr>
            </w:pPr>
            <w:r>
              <w:rPr>
                <w:rFonts w:hint="eastAsia" w:cs="宋体"/>
                <w:color w:val="000000"/>
                <w:sz w:val="24"/>
                <w:lang w:val="en-US" w:eastAsia="zh-CN"/>
              </w:rPr>
              <w:t>38.3亩</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eastAsia"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41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蓝湾大道公路工程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300.4亩</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eastAsia" w:ascii="Times New Roman" w:hAnsi="Times New Roman" w:eastAsia="宋体" w:cs="宋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42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滨海观光大道公路工程（振兴路至沿海中线段）</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61576 </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eastAsia="宋体" w:cs="宋体"/>
                <w:color w:val="000000"/>
                <w:kern w:val="0"/>
                <w:sz w:val="24"/>
                <w:lang w:val="en-US" w:eastAsia="zh-CN" w:bidi="ar"/>
              </w:rPr>
            </w:pPr>
            <w:r>
              <w:rPr>
                <w:rFonts w:hint="eastAsia" w:cs="宋体"/>
                <w:color w:val="000000"/>
                <w:kern w:val="0"/>
                <w:sz w:val="24"/>
                <w:lang w:val="en-US" w:eastAsia="zh-CN" w:bidi="ar"/>
              </w:rPr>
              <w:t>43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宁波奉化狮子山码头工程项目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230亩</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44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产城融合区块配套道路</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19160 </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45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奉莼二通道</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8.7km</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default" w:cs="宋体"/>
                <w:color w:val="000000"/>
                <w:kern w:val="0"/>
                <w:sz w:val="24"/>
                <w:lang w:bidi="ar"/>
              </w:rPr>
              <w:t>46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职业技术学院南侧配套道路</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18000</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default" w:cs="宋体"/>
                <w:color w:val="000000"/>
                <w:kern w:val="0"/>
                <w:sz w:val="24"/>
                <w:lang w:bidi="ar"/>
              </w:rPr>
              <w:t>47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金海路慢行隧道</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23.5亩</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default" w:cs="宋体"/>
                <w:color w:val="000000"/>
                <w:kern w:val="0"/>
                <w:sz w:val="24"/>
                <w:lang w:bidi="ar"/>
              </w:rPr>
              <w:t>48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松岙至塘溪公路工程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cs="宋体"/>
                <w:color w:val="000000" w:themeColor="text1"/>
                <w:kern w:val="0"/>
                <w:sz w:val="24"/>
                <w:lang w:val="en-US" w:eastAsia="zh-CN" w:bidi="ar"/>
                <w14:textFill>
                  <w14:solidFill>
                    <w14:schemeClr w14:val="tx1"/>
                  </w14:solidFill>
                </w14:textFill>
              </w:rPr>
              <w:t>14</w:t>
            </w:r>
            <w:r>
              <w:rPr>
                <w:rFonts w:hint="eastAsia" w:cs="宋体"/>
                <w:color w:val="000000" w:themeColor="text1"/>
                <w:kern w:val="0"/>
                <w:sz w:val="24"/>
                <w:lang w:bidi="ar"/>
                <w14:textFill>
                  <w14:solidFill>
                    <w14:schemeClr w14:val="tx1"/>
                  </w14:solidFill>
                </w14:textFill>
              </w:rPr>
              <w:t>km</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49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南山路综合改造工程-道路工程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default" w:cs="宋体"/>
                <w:color w:val="000000" w:themeColor="text1"/>
                <w:kern w:val="0"/>
                <w:sz w:val="24"/>
                <w:lang w:bidi="ar"/>
                <w14:textFill>
                  <w14:solidFill>
                    <w14:schemeClr w14:val="tx1"/>
                  </w14:solidFill>
                </w14:textFill>
              </w:rPr>
              <w:t>298668</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kern w:val="0"/>
                <w:sz w:val="24"/>
                <w:lang w:bidi="ar"/>
              </w:rPr>
            </w:pPr>
            <w:r>
              <w:rPr>
                <w:rFonts w:hint="eastAsia" w:cs="宋体"/>
                <w:color w:val="000000"/>
                <w:kern w:val="0"/>
                <w:sz w:val="24"/>
                <w:lang w:val="en-US" w:eastAsia="zh-CN" w:bidi="ar"/>
              </w:rPr>
              <w:t>50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宝化路东延一期工程（金钟路－东环线）</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cs="宋体"/>
                <w:color w:val="000000" w:themeColor="text1"/>
                <w:sz w:val="24"/>
                <w14:textFill>
                  <w14:solidFill>
                    <w14:schemeClr w14:val="tx1"/>
                  </w14:solidFill>
                </w14:textFill>
              </w:rPr>
            </w:pPr>
            <w:r>
              <w:rPr>
                <w:rFonts w:hint="default" w:cs="宋体"/>
                <w:color w:val="000000" w:themeColor="text1"/>
                <w:kern w:val="0"/>
                <w:sz w:val="24"/>
                <w:lang w:bidi="ar"/>
                <w14:textFill>
                  <w14:solidFill>
                    <w14:schemeClr w14:val="tx1"/>
                  </w14:solidFill>
                </w14:textFill>
              </w:rPr>
              <w:t>127247</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51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西圃南路（一期至弥勒大道）道路工程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default" w:cs="宋体"/>
                <w:color w:val="000000" w:themeColor="text1"/>
                <w:kern w:val="0"/>
                <w:sz w:val="24"/>
                <w:lang w:bidi="ar"/>
                <w14:textFill>
                  <w14:solidFill>
                    <w14:schemeClr w14:val="tx1"/>
                  </w14:solidFill>
                </w14:textFill>
              </w:rPr>
              <w:t>85089</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52</w:t>
            </w:r>
          </w:p>
        </w:tc>
        <w:tc>
          <w:tcPr>
            <w:tcW w:w="425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奉化区全域旅游基础设施改造提升工程－奉化区国际时尚产业园配套道路工程一期</w:t>
            </w:r>
          </w:p>
        </w:tc>
        <w:tc>
          <w:tcPr>
            <w:tcW w:w="160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1.6公里</w:t>
            </w:r>
          </w:p>
        </w:tc>
        <w:tc>
          <w:tcPr>
            <w:tcW w:w="1944" w:type="dxa"/>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tcBorders>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53</w:t>
            </w:r>
          </w:p>
        </w:tc>
        <w:tc>
          <w:tcPr>
            <w:tcW w:w="4257" w:type="dxa"/>
            <w:tcBorders>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奉南路（西锦路－红墙外弄）</w:t>
            </w:r>
          </w:p>
        </w:tc>
        <w:tc>
          <w:tcPr>
            <w:tcW w:w="1605" w:type="dxa"/>
            <w:tcBorders>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color w:val="000000"/>
                <w:kern w:val="0"/>
                <w:sz w:val="24"/>
                <w:lang w:bidi="ar"/>
              </w:rPr>
            </w:pPr>
            <w:r>
              <w:rPr>
                <w:rFonts w:hint="eastAsia" w:cs="宋体"/>
                <w:color w:val="000000"/>
                <w:kern w:val="0"/>
                <w:sz w:val="24"/>
                <w:lang w:bidi="ar"/>
              </w:rPr>
              <w:t>长0.77km</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宽32m</w:t>
            </w:r>
          </w:p>
        </w:tc>
        <w:tc>
          <w:tcPr>
            <w:tcW w:w="1944" w:type="dxa"/>
            <w:tcBorders>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54</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金海路综合整治工程</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145666</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55</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宁波湾区智慧文旅区块公路工程</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280000</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56</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城西岙小微企业园配套道路</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9333</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已列入新增重大项目表（谋划类）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57</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仁湖路</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3000</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58</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金钟路改造项目</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358000</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59</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莼湖街道东环线南延公路工程</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25183 </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60</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镇西配套道路</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12052 </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61</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莼湖街道吴家埠村道路五号地块</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2302 </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62</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S312 北仑至嵊州公路奉化区鄞州界至下陈段拓宽工程（沿海中线奉化段）</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35.8km</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63</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S312 北仑至嵊州公路奉化区连山快速公路工程（二期）</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6.1km</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64</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S204 余姚至温岭公路奉化宝化路至东环线段公路工程</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6.8km</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65</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四明路与西宁路交叉口东侧连接线工程</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0.4km</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66</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四明路东延新设辅道工程</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1km</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67</w:t>
            </w:r>
          </w:p>
        </w:tc>
        <w:tc>
          <w:tcPr>
            <w:tcW w:w="42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西环线北延二期</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0.3km</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19"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68</w:t>
            </w:r>
          </w:p>
        </w:tc>
        <w:tc>
          <w:tcPr>
            <w:tcW w:w="4257" w:type="dxa"/>
            <w:tcBorders>
              <w:top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S209省道沙堤至甬金高速溪口西出口段拓宽</w:t>
            </w:r>
          </w:p>
        </w:tc>
        <w:tc>
          <w:tcPr>
            <w:tcW w:w="1605"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4.3km</w:t>
            </w:r>
          </w:p>
        </w:tc>
        <w:tc>
          <w:tcPr>
            <w:tcW w:w="1944" w:type="dxa"/>
            <w:tcBorders>
              <w:top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69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沿海中线西延</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6km</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已列入新增重大项目表（谋划类）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70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G228 丹东线奉化段拓宽改造工程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10.9km</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71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奉溪二通道（宝化路西延）</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15.4km</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72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莼湖街道东环线北延至S203省道公路工程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4.7km</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已列入新增重大项目表（谋划类）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73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奉钱线拓宽（西宁路至S203 省道）</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4.5km</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74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长汀西路西延（西圃路至同山段）</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1.1km</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75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岳林东路东延</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4km</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已列入新增重大项目表（谋划类）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76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溪口南环线</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9.3km</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77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奉化河头路（长汀路至四明路段）道路工程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2.3公里</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78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奉化区宁南贸易物流园区配套基础设施（四期）－儒江路跨剡江大桥及接线（滨江路-甬临线）工程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43784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r>
              <w:rPr>
                <w:rFonts w:hint="eastAsia" w:cs="宋体"/>
                <w:color w:val="000000"/>
                <w:sz w:val="24"/>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79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下王渡路（方浦路－鄞城大道）</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57118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80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常浦路（汇诚路－山隍路）</w:t>
            </w:r>
            <w:r>
              <w:rPr>
                <w:rFonts w:hint="eastAsia" w:cs="宋体"/>
                <w:color w:val="000000"/>
                <w:kern w:val="0"/>
                <w:sz w:val="24"/>
                <w:lang w:val="en-US" w:eastAsia="zh-CN" w:bidi="ar"/>
              </w:rPr>
              <w:t>公路工程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109510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81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方欣路（儒江路－常浦路）</w:t>
            </w:r>
            <w:r>
              <w:rPr>
                <w:rFonts w:hint="eastAsia" w:cs="宋体"/>
                <w:color w:val="000000"/>
                <w:kern w:val="0"/>
                <w:sz w:val="24"/>
                <w:lang w:val="en-US" w:eastAsia="zh-CN" w:bidi="ar"/>
              </w:rPr>
              <w:t>公路工程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59400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82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山隍路（葭浦路－四明路）</w:t>
            </w:r>
            <w:r>
              <w:rPr>
                <w:rFonts w:hint="eastAsia" w:cs="宋体"/>
                <w:color w:val="000000"/>
                <w:kern w:val="0"/>
                <w:sz w:val="24"/>
                <w:lang w:val="en-US" w:eastAsia="zh-CN" w:bidi="ar"/>
              </w:rPr>
              <w:t>公路工程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80684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83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尚田街道梅山路贯通工程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8584.58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84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金甬铁路福腾隧道出口改路建设工程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11503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85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溪口城乡环境风貌提升工程二期（公园路改造项目）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34829 </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86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溪口城乡环境风貌提升工程三期（中兴路改造项目）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120623 </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87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龙溪公路（溪口任宋段）拓宽工程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39802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88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奉化四明路（锦奉大道至机场南路）快速化改造工程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长约6km，标准段宽约40m</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89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龙溪公路东侧二号地块北侧配套道路</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cs="宋体"/>
                <w:color w:val="000000"/>
                <w:kern w:val="0"/>
                <w:sz w:val="24"/>
                <w:lang w:bidi="ar"/>
              </w:rPr>
            </w:pPr>
            <w:r>
              <w:rPr>
                <w:rFonts w:hint="eastAsia" w:cs="宋体"/>
                <w:color w:val="000000"/>
                <w:kern w:val="0"/>
                <w:sz w:val="24"/>
                <w:lang w:bidi="ar"/>
              </w:rPr>
              <w:t>长度685m</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宽度6.5m</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90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大爱城南侧配套道路</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cs="宋体"/>
                <w:color w:val="000000"/>
                <w:kern w:val="0"/>
                <w:sz w:val="24"/>
                <w:lang w:bidi="ar"/>
              </w:rPr>
            </w:pPr>
            <w:r>
              <w:rPr>
                <w:rFonts w:hint="eastAsia" w:cs="宋体"/>
                <w:color w:val="000000"/>
                <w:kern w:val="0"/>
                <w:sz w:val="24"/>
                <w:lang w:bidi="ar"/>
              </w:rPr>
              <w:t>A线240m</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B线170m</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91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莼湖街道上堰路至金海路连接线工程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cs="宋体"/>
                <w:color w:val="000000"/>
                <w:kern w:val="0"/>
                <w:sz w:val="24"/>
                <w:lang w:bidi="ar"/>
              </w:rPr>
            </w:pPr>
            <w:r>
              <w:rPr>
                <w:rFonts w:hint="eastAsia" w:cs="宋体"/>
                <w:color w:val="000000"/>
                <w:kern w:val="0"/>
                <w:sz w:val="24"/>
                <w:lang w:bidi="ar"/>
              </w:rPr>
              <w:t>长595m</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宽18m</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92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奉化宝化快速路工程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cs="宋体"/>
                <w:color w:val="000000"/>
                <w:kern w:val="0"/>
                <w:sz w:val="24"/>
                <w:lang w:bidi="ar"/>
              </w:rPr>
            </w:pPr>
            <w:r>
              <w:rPr>
                <w:rFonts w:hint="eastAsia" w:cs="宋体"/>
                <w:color w:val="000000"/>
                <w:kern w:val="0"/>
                <w:sz w:val="24"/>
                <w:lang w:bidi="ar"/>
              </w:rPr>
              <w:t>长5.9km</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宽24—46.5m</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9</w:t>
            </w:r>
            <w:r>
              <w:rPr>
                <w:rFonts w:hint="eastAsia" w:cs="宋体"/>
                <w:color w:val="000000"/>
                <w:kern w:val="0"/>
                <w:sz w:val="24"/>
                <w:lang w:val="en-US" w:eastAsia="zh-CN" w:bidi="ar"/>
              </w:rPr>
              <w:t>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宁波湾区智慧文旅小镇公路工程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10.23km</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94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人民医院周边道路（溆浦路、正廷路）</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溆浦路长1168m，宽度24m；正廷路长度380m，宽度24m</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95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溪上名都东侧道路</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eastAsia="zh-CN" w:bidi="ar"/>
              </w:rPr>
              <w:t>1.53公顷</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96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聚金路（淑浦北路-河头路）道路工程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default" w:cs="宋体"/>
                <w:color w:val="000000"/>
                <w:kern w:val="0"/>
                <w:sz w:val="24"/>
                <w:lang w:bidi="ar"/>
              </w:rPr>
              <w:t>7515</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25" w:type="dxa"/>
            <w:gridSpan w:val="4"/>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r>
              <w:rPr>
                <w:rFonts w:hint="eastAsia" w:cs="宋体"/>
                <w:b/>
                <w:bCs/>
                <w:color w:val="000000"/>
                <w:kern w:val="0"/>
                <w:sz w:val="24"/>
                <w:lang w:bidi="ar"/>
              </w:rPr>
              <w:t>四、生态环保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97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cs="宋体"/>
                <w:color w:val="000000"/>
                <w:kern w:val="0"/>
                <w:sz w:val="24"/>
                <w:lang w:bidi="ar"/>
              </w:rPr>
              <w:t>亭下灌区三干渠（倪家碶河）整治工程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159114</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98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宁波健康旅游新城水系治理工程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136340 </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99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奉化主城区生态修复工程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15070000</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10</w:t>
            </w:r>
            <w:r>
              <w:rPr>
                <w:rFonts w:hint="eastAsia" w:cs="宋体"/>
                <w:color w:val="000000"/>
                <w:kern w:val="0"/>
                <w:sz w:val="24"/>
                <w:lang w:val="en-US" w:eastAsia="zh-CN" w:bidi="ar"/>
              </w:rPr>
              <w:t>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浙江省奉化市莼湖镇尹家大岙水库采石场矿区</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55099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10</w:t>
            </w:r>
            <w:r>
              <w:rPr>
                <w:rFonts w:hint="eastAsia" w:cs="宋体"/>
                <w:color w:val="000000"/>
                <w:kern w:val="0"/>
                <w:sz w:val="24"/>
                <w:lang w:val="en-US" w:eastAsia="zh-CN" w:bidi="ar"/>
              </w:rPr>
              <w:t>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奉化主城区生态廊道工程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44666</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10</w:t>
            </w:r>
            <w:r>
              <w:rPr>
                <w:rFonts w:hint="eastAsia" w:cs="宋体"/>
                <w:color w:val="000000"/>
                <w:kern w:val="0"/>
                <w:sz w:val="24"/>
                <w:lang w:val="en-US" w:eastAsia="zh-CN" w:bidi="ar"/>
              </w:rPr>
              <w:t>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周家河</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河长797m，宽30m，绿化面积26627平方米</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10</w:t>
            </w:r>
            <w:r>
              <w:rPr>
                <w:rFonts w:hint="eastAsia" w:cs="宋体"/>
                <w:color w:val="000000"/>
                <w:kern w:val="0"/>
                <w:sz w:val="24"/>
                <w:lang w:val="en-US" w:eastAsia="zh-CN" w:bidi="ar"/>
              </w:rPr>
              <w:t>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千大王河改造工程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cs="宋体"/>
                <w:color w:val="000000"/>
                <w:kern w:val="0"/>
                <w:sz w:val="24"/>
                <w:lang w:bidi="ar"/>
              </w:rPr>
            </w:pPr>
            <w:r>
              <w:rPr>
                <w:rFonts w:hint="eastAsia" w:cs="宋体"/>
                <w:color w:val="000000"/>
                <w:kern w:val="0"/>
                <w:sz w:val="24"/>
                <w:lang w:bidi="ar"/>
              </w:rPr>
              <w:t>长720m</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宽10m</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w:t>
            </w:r>
            <w:r>
              <w:rPr>
                <w:rFonts w:hint="eastAsia" w:cs="宋体"/>
                <w:color w:val="000000"/>
                <w:kern w:val="0"/>
                <w:sz w:val="24"/>
                <w:lang w:val="en-US" w:eastAsia="zh-CN" w:bidi="ar"/>
              </w:rPr>
              <w:t>04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奉化区启门河东排工程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30066</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w:t>
            </w:r>
            <w:r>
              <w:rPr>
                <w:rFonts w:hint="eastAsia" w:cs="宋体"/>
                <w:color w:val="000000"/>
                <w:kern w:val="0"/>
                <w:sz w:val="24"/>
                <w:lang w:val="en-US" w:eastAsia="zh-CN" w:bidi="ar"/>
              </w:rPr>
              <w:t>05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奉化区四明路高教园片区排涝工程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24066.67 </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w:t>
            </w:r>
            <w:r>
              <w:rPr>
                <w:rFonts w:hint="eastAsia" w:cs="宋体"/>
                <w:color w:val="000000"/>
                <w:kern w:val="0"/>
                <w:sz w:val="24"/>
                <w:lang w:val="en-US" w:eastAsia="zh-CN" w:bidi="ar"/>
              </w:rPr>
              <w:t>06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奉化区后张、王家汇泵站工程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25133.33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107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奉化区鱼山与大欧泵站工程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2469</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default" w:cs="宋体"/>
                <w:color w:val="000000"/>
                <w:kern w:val="0"/>
                <w:sz w:val="24"/>
                <w:lang w:val="en-US" w:eastAsia="zh-CN" w:bidi="ar"/>
              </w:rPr>
              <w:t>108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奉化状元岙抽水蓄能工程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2220000 </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default" w:cs="宋体"/>
                <w:b w:val="0"/>
                <w:bCs w:val="0"/>
                <w:color w:val="000000"/>
                <w:kern w:val="0"/>
                <w:sz w:val="24"/>
                <w:lang w:val="en-US" w:eastAsia="zh-CN" w:bidi="ar"/>
              </w:rPr>
              <w:t>109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奉化区可回收物分拣中心项目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1530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default" w:cs="宋体"/>
                <w:b w:val="0"/>
                <w:bCs w:val="0"/>
                <w:color w:val="000000"/>
                <w:kern w:val="0"/>
                <w:sz w:val="24"/>
                <w:lang w:val="en-US" w:eastAsia="zh-CN" w:bidi="ar"/>
              </w:rPr>
              <w:t>110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植物园</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2666300 </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已列入新增重大项目表（谋划类）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1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color w:val="000000"/>
                <w:kern w:val="0"/>
                <w:sz w:val="24"/>
                <w:szCs w:val="24"/>
                <w:lang w:val="en-US" w:eastAsia="zh-CN" w:bidi="ar"/>
              </w:rPr>
            </w:pPr>
            <w:r>
              <w:rPr>
                <w:rFonts w:hint="eastAsia" w:cs="宋体"/>
                <w:color w:val="000000"/>
                <w:kern w:val="0"/>
                <w:sz w:val="24"/>
                <w:lang w:val="en-US" w:eastAsia="zh-CN" w:bidi="ar"/>
              </w:rPr>
              <w:t>111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宁波市奉化区剡江北塘（萧王庙-周村）堤防整治工程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4.8km</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112</w:t>
            </w:r>
          </w:p>
        </w:tc>
        <w:tc>
          <w:tcPr>
            <w:tcW w:w="425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莼湖街道降渚溪水利综合整治工程</w:t>
            </w:r>
          </w:p>
        </w:tc>
        <w:tc>
          <w:tcPr>
            <w:tcW w:w="160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全长约2.565公里，宽约16米</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eastAsia"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525" w:type="dxa"/>
            <w:gridSpan w:val="4"/>
            <w:vAlign w:val="center"/>
          </w:tcPr>
          <w:p>
            <w:pPr>
              <w:keepNext w:val="0"/>
              <w:keepLines w:val="0"/>
              <w:widowControl/>
              <w:suppressLineNumbers w:val="0"/>
              <w:spacing w:before="0" w:beforeAutospacing="0" w:after="0" w:afterAutospacing="0"/>
              <w:ind w:left="0" w:right="0"/>
              <w:jc w:val="left"/>
              <w:textAlignment w:val="center"/>
              <w:rPr>
                <w:rFonts w:hint="eastAsia" w:cs="宋体"/>
                <w:color w:val="000000"/>
                <w:kern w:val="0"/>
                <w:sz w:val="24"/>
                <w:lang w:bidi="ar"/>
              </w:rPr>
            </w:pPr>
            <w:r>
              <w:rPr>
                <w:rFonts w:hint="eastAsia" w:cs="宋体"/>
                <w:b/>
                <w:bCs/>
                <w:color w:val="000000"/>
                <w:kern w:val="0"/>
                <w:sz w:val="24"/>
                <w:lang w:bidi="ar"/>
              </w:rPr>
              <w:t>五、公共服务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113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斯张村项目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340000</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已列入新增重大项目表（谋划类）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114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鸿峙村乡村振兴项目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SA"/>
              </w:rPr>
            </w:pPr>
            <w:r>
              <w:rPr>
                <w:rFonts w:hint="eastAsia" w:cs="宋体"/>
                <w:color w:val="000000"/>
                <w:kern w:val="0"/>
                <w:sz w:val="24"/>
                <w:lang w:bidi="ar"/>
              </w:rPr>
              <w:t>6376</w:t>
            </w:r>
          </w:p>
        </w:tc>
        <w:tc>
          <w:tcPr>
            <w:tcW w:w="1944" w:type="dxa"/>
            <w:vAlign w:val="center"/>
          </w:tcPr>
          <w:p>
            <w:pPr>
              <w:keepNext w:val="0"/>
              <w:keepLines w:val="0"/>
              <w:suppressLineNumbers w:val="0"/>
              <w:spacing w:before="0" w:beforeAutospacing="0" w:after="0" w:afterAutospacing="0"/>
              <w:ind w:left="0" w:right="0"/>
              <w:rPr>
                <w:rFonts w:hint="eastAsia"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115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章胡村乡村振兴项目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12935</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116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同山村乡村振兴项目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7653</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117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栖凤村乡村振兴项目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42276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118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桥棚村公共服务中心</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4414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119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莼湖街道琅溪村级综合用房</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1632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120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旅游度假区配套设施4号地块</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14807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121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方门村金甬铁路安置农民建房</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1675 </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122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楼隘大龄青年安置房项目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9247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123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莼湖卫生院迁建</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20000</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已列入新增重大项目表（谋划类）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124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莼湖街道规划幼儿园</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7380</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125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职教中心迁建工程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预估200亩</w:t>
            </w:r>
          </w:p>
        </w:tc>
        <w:tc>
          <w:tcPr>
            <w:tcW w:w="19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126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奉化气排球集训基地项目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3800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127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灵峰禅寺综合体开发项目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34153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128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九峰寺改扩建项目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4653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129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泰清寺改扩建项目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3427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130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仙梅寺改扩建项目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6907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131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长岭文化艺术交流中心</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40662</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szCs w:val="24"/>
                <w:lang w:val="en-US" w:eastAsia="zh-CN" w:bidi="ar"/>
              </w:rPr>
              <w:t>132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奉慈禅寺</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3334</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133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瀑布院</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3330</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134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水涧岩精舍</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3335</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135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莼湖陵园扩建</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9533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136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宁波市奉化区殡葬建设项目二期工程</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69862 </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规划原有项目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137</w:t>
            </w:r>
          </w:p>
        </w:tc>
        <w:tc>
          <w:tcPr>
            <w:tcW w:w="4257" w:type="dxa"/>
            <w:vAlign w:val="center"/>
          </w:tcPr>
          <w:p>
            <w:pPr>
              <w:keepNext w:val="0"/>
              <w:keepLines w:val="0"/>
              <w:widowControl/>
              <w:suppressLineNumbers w:val="0"/>
              <w:spacing w:before="0" w:beforeAutospacing="0" w:after="0" w:afterAutospacing="0"/>
              <w:ind w:left="0" w:right="0"/>
              <w:jc w:val="both"/>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宁波市奉化区西部</w:t>
            </w:r>
            <w:r>
              <w:rPr>
                <w:rFonts w:hint="eastAsia" w:cs="宋体"/>
                <w:color w:val="000000"/>
                <w:kern w:val="0"/>
                <w:sz w:val="24"/>
                <w:lang w:bidi="ar"/>
              </w:rPr>
              <w:t>公益性墓地建设项目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66955</w:t>
            </w:r>
          </w:p>
        </w:tc>
        <w:tc>
          <w:tcPr>
            <w:tcW w:w="1944"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138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宁波市奉化区东部公益性墓地建设项目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墓园共占地72亩（未含墓园进出道路面积）</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139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eastAsia="宋体" w:cs="宋体"/>
                <w:color w:val="000000"/>
                <w:sz w:val="24"/>
                <w:lang w:val="en-US" w:eastAsia="zh-CN"/>
              </w:rPr>
            </w:pPr>
            <w:r>
              <w:rPr>
                <w:rFonts w:hint="eastAsia" w:cs="宋体"/>
                <w:color w:val="000000"/>
                <w:kern w:val="0"/>
                <w:sz w:val="24"/>
                <w:lang w:bidi="ar"/>
              </w:rPr>
              <w:t>宁波市奉化区南部公益性墓地建设项目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cs="宋体"/>
                <w:color w:val="000000"/>
                <w:sz w:val="24"/>
              </w:rPr>
            </w:pPr>
            <w:r>
              <w:rPr>
                <w:rFonts w:hint="eastAsia" w:cs="宋体"/>
                <w:color w:val="000000"/>
                <w:kern w:val="0"/>
                <w:sz w:val="24"/>
                <w:lang w:bidi="ar"/>
              </w:rPr>
              <w:t>墓园共占地100亩（未含墓园进出道路面积）</w:t>
            </w:r>
          </w:p>
        </w:tc>
        <w:tc>
          <w:tcPr>
            <w:tcW w:w="1944" w:type="dxa"/>
            <w:vAlign w:val="center"/>
          </w:tcPr>
          <w:p>
            <w:pPr>
              <w:keepNext w:val="0"/>
              <w:keepLines w:val="0"/>
              <w:widowControl/>
              <w:suppressLineNumbers w:val="0"/>
              <w:spacing w:before="0" w:beforeAutospacing="0" w:after="0" w:afterAutospacing="0"/>
              <w:ind w:left="0" w:right="0"/>
              <w:textAlignment w:val="auto"/>
              <w:rPr>
                <w:rFonts w:hint="eastAsia"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140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宁波市奉化区中部公益性墓地建设项目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墓园共占地80亩（未含墓园进出道路面积）</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141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西环线中石油加油站迁址（西环线征地范围）</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5300</w:t>
            </w:r>
          </w:p>
        </w:tc>
        <w:tc>
          <w:tcPr>
            <w:tcW w:w="1944" w:type="dxa"/>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已列入新增重大项目表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142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桐冒加油站</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7906</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143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王淑浦加油站</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6113</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144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沈家堍加油站（原茗山加油站）</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7453</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145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 瑞丰加油站（原麻厂加油站）</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9313</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146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泉溪江加油站</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6427</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147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琅溪加油站（原朱家垫加油站）</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20000</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148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北仓加油站</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3700</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149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西坞高中压调压站</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197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150</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莼湖门站至白杜高压输气工程高压阀室</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23 </w:t>
            </w:r>
          </w:p>
        </w:tc>
        <w:tc>
          <w:tcPr>
            <w:tcW w:w="1944" w:type="dxa"/>
            <w:vAlign w:val="center"/>
          </w:tcPr>
          <w:p>
            <w:pPr>
              <w:keepNext w:val="0"/>
              <w:keepLines w:val="0"/>
              <w:suppressLineNumbers w:val="0"/>
              <w:spacing w:before="0" w:beforeAutospacing="0" w:after="0" w:afterAutospacing="0"/>
              <w:ind w:left="0" w:right="0"/>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15</w:t>
            </w:r>
            <w:r>
              <w:rPr>
                <w:rFonts w:hint="eastAsia" w:cs="宋体"/>
                <w:color w:val="000000"/>
                <w:kern w:val="0"/>
                <w:sz w:val="24"/>
                <w:lang w:val="en-US" w:eastAsia="zh-CN" w:bidi="ar"/>
              </w:rPr>
              <w:t>1</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飞龙燃气站</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6373 </w:t>
            </w:r>
          </w:p>
        </w:tc>
        <w:tc>
          <w:tcPr>
            <w:tcW w:w="1944" w:type="dxa"/>
            <w:vAlign w:val="center"/>
          </w:tcPr>
          <w:p>
            <w:pPr>
              <w:keepNext w:val="0"/>
              <w:keepLines w:val="0"/>
              <w:suppressLineNumbers w:val="0"/>
              <w:spacing w:before="0" w:beforeAutospacing="0" w:after="0" w:afterAutospacing="0"/>
              <w:ind w:left="0" w:right="0"/>
              <w:rPr>
                <w:rFonts w:hint="default"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15</w:t>
            </w:r>
            <w:r>
              <w:rPr>
                <w:rFonts w:hint="eastAsia" w:cs="宋体"/>
                <w:color w:val="000000"/>
                <w:kern w:val="0"/>
                <w:sz w:val="24"/>
                <w:lang w:val="en-US" w:eastAsia="zh-CN" w:bidi="ar"/>
              </w:rPr>
              <w:t>2</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旅游度假区配套公共停车场项目</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 xml:space="preserve">189436 </w:t>
            </w:r>
          </w:p>
        </w:tc>
        <w:tc>
          <w:tcPr>
            <w:tcW w:w="1944" w:type="dxa"/>
            <w:vAlign w:val="center"/>
          </w:tcPr>
          <w:p>
            <w:pPr>
              <w:keepNext w:val="0"/>
              <w:keepLines w:val="0"/>
              <w:suppressLineNumbers w:val="0"/>
              <w:spacing w:before="0" w:beforeAutospacing="0" w:after="0" w:afterAutospacing="0"/>
              <w:ind w:left="0" w:right="0"/>
              <w:rPr>
                <w:rFonts w:hint="default"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15</w:t>
            </w:r>
            <w:r>
              <w:rPr>
                <w:rFonts w:hint="eastAsia" w:cs="宋体"/>
                <w:color w:val="000000"/>
                <w:kern w:val="0"/>
                <w:sz w:val="24"/>
                <w:lang w:val="en-US" w:eastAsia="zh-CN" w:bidi="ar"/>
              </w:rPr>
              <w:t>3</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田央村旅游集散中心</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4267</w:t>
            </w:r>
          </w:p>
        </w:tc>
        <w:tc>
          <w:tcPr>
            <w:tcW w:w="1944" w:type="dxa"/>
            <w:vAlign w:val="center"/>
          </w:tcPr>
          <w:p>
            <w:pPr>
              <w:keepNext w:val="0"/>
              <w:keepLines w:val="0"/>
              <w:suppressLineNumbers w:val="0"/>
              <w:spacing w:before="0" w:beforeAutospacing="0" w:after="0" w:afterAutospacing="0"/>
              <w:ind w:left="0" w:right="0"/>
              <w:rPr>
                <w:rFonts w:hint="default"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lang w:bidi="ar"/>
              </w:rPr>
              <w:t>15</w:t>
            </w:r>
            <w:r>
              <w:rPr>
                <w:rFonts w:hint="eastAsia" w:cs="宋体"/>
                <w:color w:val="000000"/>
                <w:kern w:val="0"/>
                <w:sz w:val="24"/>
                <w:lang w:val="en-US" w:eastAsia="zh-CN" w:bidi="ar"/>
              </w:rPr>
              <w:t>4</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江口公交车站</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SA"/>
              </w:rPr>
            </w:pPr>
            <w:r>
              <w:rPr>
                <w:rFonts w:hint="eastAsia" w:cs="宋体"/>
                <w:color w:val="000000"/>
                <w:kern w:val="0"/>
                <w:sz w:val="24"/>
                <w:lang w:bidi="ar"/>
              </w:rPr>
              <w:t>3400</w:t>
            </w:r>
          </w:p>
        </w:tc>
        <w:tc>
          <w:tcPr>
            <w:tcW w:w="1944" w:type="dxa"/>
            <w:vAlign w:val="center"/>
          </w:tcPr>
          <w:p>
            <w:pPr>
              <w:keepNext w:val="0"/>
              <w:keepLines w:val="0"/>
              <w:suppressLineNumbers w:val="0"/>
              <w:spacing w:before="0" w:beforeAutospacing="0" w:after="0" w:afterAutospacing="0"/>
              <w:ind w:left="0" w:right="0"/>
              <w:rPr>
                <w:rFonts w:hint="default"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szCs w:val="24"/>
                <w:lang w:val="en-US" w:eastAsia="zh-CN" w:bidi="ar"/>
              </w:rPr>
              <w:t>155</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松岙未来社区</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000000"/>
                <w:kern w:val="0"/>
                <w:sz w:val="24"/>
                <w:szCs w:val="24"/>
                <w:lang w:val="en-US" w:eastAsia="zh-CN" w:bidi="ar"/>
              </w:rPr>
            </w:pPr>
            <w:r>
              <w:rPr>
                <w:rFonts w:hint="default" w:cs="宋体"/>
                <w:color w:val="000000" w:themeColor="text1"/>
                <w:kern w:val="0"/>
                <w:sz w:val="24"/>
                <w:lang w:bidi="ar"/>
                <w14:textFill>
                  <w14:solidFill>
                    <w14:schemeClr w14:val="tx1"/>
                  </w14:solidFill>
                </w14:textFill>
              </w:rPr>
              <w:t>250000</w:t>
            </w:r>
          </w:p>
        </w:tc>
        <w:tc>
          <w:tcPr>
            <w:tcW w:w="1944" w:type="dxa"/>
            <w:vAlign w:val="center"/>
          </w:tcPr>
          <w:p>
            <w:pPr>
              <w:keepNext w:val="0"/>
              <w:keepLines w:val="0"/>
              <w:suppressLineNumbers w:val="0"/>
              <w:spacing w:before="0" w:beforeAutospacing="0" w:after="0" w:afterAutospacing="0"/>
              <w:ind w:left="0" w:right="0"/>
              <w:rPr>
                <w:rFonts w:hint="default"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szCs w:val="24"/>
                <w:lang w:val="en-US" w:eastAsia="zh-CN" w:bidi="ar"/>
              </w:rPr>
              <w:t>156</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bidi="ar"/>
              </w:rPr>
              <w:t>奉化区医疗健康综合体项目（二期</w:t>
            </w:r>
            <w:r>
              <w:rPr>
                <w:rFonts w:hint="eastAsia" w:cs="宋体"/>
                <w:color w:val="000000"/>
                <w:kern w:val="0"/>
                <w:sz w:val="24"/>
                <w:lang w:eastAsia="zh-CN" w:bidi="ar"/>
              </w:rPr>
              <w:t>）</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color w:val="FF0000"/>
                <w:kern w:val="0"/>
                <w:sz w:val="24"/>
                <w:szCs w:val="24"/>
                <w:lang w:val="en-US" w:eastAsia="zh-CN" w:bidi="ar"/>
              </w:rPr>
            </w:pPr>
            <w:r>
              <w:rPr>
                <w:rFonts w:hint="eastAsia" w:cs="宋体"/>
                <w:color w:val="000000"/>
                <w:kern w:val="0"/>
                <w:sz w:val="24"/>
                <w:lang w:bidi="ar"/>
              </w:rPr>
              <w:t>24800</w:t>
            </w:r>
          </w:p>
        </w:tc>
        <w:tc>
          <w:tcPr>
            <w:tcW w:w="1944" w:type="dxa"/>
            <w:vAlign w:val="center"/>
          </w:tcPr>
          <w:p>
            <w:pPr>
              <w:keepNext w:val="0"/>
              <w:keepLines w:val="0"/>
              <w:suppressLineNumbers w:val="0"/>
              <w:spacing w:before="0" w:beforeAutospacing="0" w:after="0" w:afterAutospacing="0"/>
              <w:ind w:left="0" w:right="0"/>
              <w:jc w:val="left"/>
              <w:rPr>
                <w:rFonts w:hint="default"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0"/>
                <w:sz w:val="24"/>
                <w:szCs w:val="24"/>
                <w:lang w:val="en-US" w:eastAsia="zh-CN" w:bidi="ar"/>
              </w:rPr>
            </w:pPr>
            <w:r>
              <w:rPr>
                <w:rFonts w:hint="eastAsia" w:cs="宋体"/>
                <w:color w:val="000000"/>
                <w:kern w:val="0"/>
                <w:sz w:val="24"/>
                <w:szCs w:val="24"/>
                <w:lang w:val="en-US" w:eastAsia="zh-CN" w:bidi="ar"/>
              </w:rPr>
              <w:t>157</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0"/>
                <w:sz w:val="24"/>
                <w:szCs w:val="24"/>
                <w:lang w:val="en-US" w:eastAsia="zh-CN" w:bidi="ar"/>
              </w:rPr>
            </w:pPr>
            <w:r>
              <w:rPr>
                <w:rFonts w:hint="eastAsia" w:ascii="Times New Roman" w:hAnsi="Times New Roman" w:eastAsia="宋体" w:cs="宋体"/>
                <w:i w:val="0"/>
                <w:iCs w:val="0"/>
                <w:color w:val="000000"/>
                <w:kern w:val="0"/>
                <w:sz w:val="24"/>
                <w:szCs w:val="24"/>
                <w:u w:val="none"/>
                <w:lang w:val="en-US" w:eastAsia="zh-CN" w:bidi="ar"/>
              </w:rPr>
              <w:t>状元岙拆迁公墓地</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ascii="Times New Roman" w:hAnsi="Times New Roman" w:eastAsia="宋体" w:cs="宋体"/>
                <w:i w:val="0"/>
                <w:iCs w:val="0"/>
                <w:color w:val="000000"/>
                <w:kern w:val="0"/>
                <w:sz w:val="24"/>
                <w:szCs w:val="24"/>
                <w:u w:val="none"/>
                <w:lang w:val="en-US" w:eastAsia="zh-CN" w:bidi="ar"/>
              </w:rPr>
              <w:t>1.59公顷</w:t>
            </w:r>
          </w:p>
        </w:tc>
        <w:tc>
          <w:tcPr>
            <w:tcW w:w="1944" w:type="dxa"/>
            <w:vAlign w:val="center"/>
          </w:tcPr>
          <w:p>
            <w:pPr>
              <w:keepNext w:val="0"/>
              <w:keepLines w:val="0"/>
              <w:suppressLineNumbers w:val="0"/>
              <w:spacing w:before="0" w:beforeAutospacing="0" w:after="0" w:afterAutospacing="0"/>
              <w:ind w:left="0" w:right="0"/>
              <w:jc w:val="left"/>
              <w:rPr>
                <w:rFonts w:hint="default"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lang w:val="en-US" w:eastAsia="zh-CN" w:bidi="ar"/>
              </w:rPr>
              <w:t>158</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0"/>
                <w:sz w:val="24"/>
                <w:szCs w:val="24"/>
                <w:lang w:val="en-US" w:eastAsia="zh-CN" w:bidi="ar"/>
              </w:rPr>
            </w:pPr>
            <w:r>
              <w:rPr>
                <w:rFonts w:hint="eastAsia" w:ascii="Times New Roman" w:hAnsi="Times New Roman" w:eastAsia="宋体" w:cs="宋体"/>
                <w:i w:val="0"/>
                <w:iCs w:val="0"/>
                <w:color w:val="000000"/>
                <w:kern w:val="0"/>
                <w:sz w:val="24"/>
                <w:szCs w:val="24"/>
                <w:u w:val="none"/>
                <w:lang w:val="en-US" w:eastAsia="zh-CN" w:bidi="ar"/>
              </w:rPr>
              <w:t>观音院</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ascii="Times New Roman" w:hAnsi="Times New Roman" w:eastAsia="宋体" w:cs="宋体"/>
                <w:i w:val="0"/>
                <w:iCs w:val="0"/>
                <w:color w:val="000000"/>
                <w:kern w:val="0"/>
                <w:sz w:val="24"/>
                <w:szCs w:val="24"/>
                <w:u w:val="none"/>
                <w:lang w:val="en-US" w:eastAsia="zh-CN" w:bidi="ar"/>
              </w:rPr>
              <w:t>0.32公顷</w:t>
            </w:r>
          </w:p>
        </w:tc>
        <w:tc>
          <w:tcPr>
            <w:tcW w:w="194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1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color w:val="000000"/>
                <w:kern w:val="0"/>
                <w:sz w:val="24"/>
                <w:szCs w:val="24"/>
                <w:lang w:val="en-US" w:eastAsia="zh-CN" w:bidi="ar"/>
              </w:rPr>
            </w:pPr>
            <w:r>
              <w:rPr>
                <w:rFonts w:hint="eastAsia" w:cs="宋体"/>
                <w:color w:val="000000"/>
                <w:kern w:val="0"/>
                <w:sz w:val="24"/>
                <w:szCs w:val="24"/>
                <w:lang w:val="en-US" w:eastAsia="zh-CN" w:bidi="ar"/>
              </w:rPr>
              <w:t>159</w:t>
            </w:r>
          </w:p>
        </w:tc>
        <w:tc>
          <w:tcPr>
            <w:tcW w:w="4257" w:type="dxa"/>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color w:val="000000"/>
                <w:kern w:val="0"/>
                <w:sz w:val="24"/>
                <w:szCs w:val="24"/>
                <w:lang w:val="en-US" w:eastAsia="zh-CN" w:bidi="ar"/>
              </w:rPr>
            </w:pPr>
            <w:r>
              <w:rPr>
                <w:rFonts w:hint="eastAsia" w:ascii="Times New Roman" w:hAnsi="Times New Roman" w:eastAsia="宋体" w:cs="宋体"/>
                <w:i w:val="0"/>
                <w:iCs w:val="0"/>
                <w:color w:val="000000"/>
                <w:kern w:val="0"/>
                <w:sz w:val="24"/>
                <w:szCs w:val="24"/>
                <w:u w:val="none"/>
                <w:lang w:val="en-US" w:eastAsia="zh-CN" w:bidi="ar"/>
              </w:rPr>
              <w:t>龙树堂</w:t>
            </w:r>
          </w:p>
        </w:tc>
        <w:tc>
          <w:tcPr>
            <w:tcW w:w="1605"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r>
              <w:rPr>
                <w:rFonts w:hint="eastAsia" w:ascii="Times New Roman" w:hAnsi="Times New Roman" w:eastAsia="宋体" w:cs="宋体"/>
                <w:i w:val="0"/>
                <w:iCs w:val="0"/>
                <w:color w:val="000000"/>
                <w:kern w:val="0"/>
                <w:sz w:val="24"/>
                <w:szCs w:val="24"/>
                <w:u w:val="none"/>
                <w:lang w:val="en-US" w:eastAsia="zh-CN" w:bidi="ar"/>
              </w:rPr>
              <w:t>0.2公顷</w:t>
            </w:r>
          </w:p>
        </w:tc>
        <w:tc>
          <w:tcPr>
            <w:tcW w:w="1944"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color w:val="000000"/>
                <w:kern w:val="0"/>
                <w:sz w:val="24"/>
                <w:szCs w:val="24"/>
                <w:lang w:val="en-US" w:eastAsia="zh-CN" w:bidi="ar"/>
              </w:rPr>
            </w:pPr>
          </w:p>
        </w:tc>
      </w:tr>
      <w:bookmarkEnd w:id="102"/>
    </w:tbl>
    <w:p>
      <w:pPr>
        <w:keepNext/>
        <w:keepLines/>
        <w:spacing w:line="580" w:lineRule="exact"/>
        <w:jc w:val="right"/>
        <w:rPr>
          <w:rFonts w:eastAsia="黑体" w:cs="黑体"/>
          <w:bCs/>
          <w:sz w:val="24"/>
        </w:rPr>
      </w:pPr>
    </w:p>
    <w:p>
      <w:pPr>
        <w:pStyle w:val="34"/>
        <w:ind w:firstLine="0" w:firstLineChars="0"/>
        <w:rPr>
          <w:rFonts w:ascii="Times New Roman" w:hAnsi="Times New Roman" w:eastAsia="方正仿宋简体" w:cs="方正仿宋简体"/>
        </w:rPr>
      </w:pPr>
      <w:bookmarkStart w:id="106" w:name="_GoBack"/>
      <w:bookmarkEnd w:id="106"/>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7611DF7-879D-40B5-9A74-00B7F9BECC3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embedRegular r:id="rId2" w:fontKey="{F55853F3-839B-4541-8FFD-1CA444D17B51}"/>
  </w:font>
  <w:font w:name="仿宋_GB2312">
    <w:panose1 w:val="02010609030101010101"/>
    <w:charset w:val="86"/>
    <w:family w:val="script"/>
    <w:pitch w:val="default"/>
    <w:sig w:usb0="00000001" w:usb1="080E0000" w:usb2="00000000" w:usb3="00000000" w:csb0="00040000" w:csb1="00000000"/>
    <w:embedRegular r:id="rId3" w:fontKey="{10481458-68CC-437D-B3D2-F74C30575801}"/>
  </w:font>
  <w:font w:name="方正仿宋简体">
    <w:altName w:val="微软雅黑"/>
    <w:panose1 w:val="02010601030101010101"/>
    <w:charset w:val="86"/>
    <w:family w:val="script"/>
    <w:pitch w:val="default"/>
    <w:sig w:usb0="00000000" w:usb1="00000000" w:usb2="00000000" w:usb3="00000000" w:csb0="00000000" w:csb1="00000000"/>
    <w:embedRegular r:id="rId4" w:fontKey="{A84D49B8-9323-40FE-83D2-27A02E2EA9FE}"/>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5" w:fontKey="{C5DC4B43-0698-40CA-9FD5-48FFBA447193}"/>
  </w:font>
  <w:font w:name="方正黑体简体">
    <w:panose1 w:val="03000509000000000000"/>
    <w:charset w:val="86"/>
    <w:family w:val="script"/>
    <w:pitch w:val="default"/>
    <w:sig w:usb0="00000001" w:usb1="080E0000" w:usb2="00000000" w:usb3="00000000" w:csb0="00040000" w:csb1="00000000"/>
    <w:embedRegular r:id="rId6" w:fontKey="{ED74D892-76FF-48BC-AF09-A2A377670E15}"/>
  </w:font>
  <w:font w:name="方正楷体简体">
    <w:panose1 w:val="02010601030101010101"/>
    <w:charset w:val="86"/>
    <w:family w:val="script"/>
    <w:pitch w:val="default"/>
    <w:sig w:usb0="00000000" w:usb1="00000000" w:usb2="00000000" w:usb3="00000000" w:csb0="00000000" w:csb1="00000000"/>
    <w:embedRegular r:id="rId7" w:fontKey="{E21403CC-DF96-4DE0-9DF5-BE722F079A51}"/>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posOffset>2513330</wp:posOffset>
              </wp:positionH>
              <wp:positionV relativeFrom="paragraph">
                <wp:posOffset>0</wp:posOffset>
              </wp:positionV>
              <wp:extent cx="200025" cy="168910"/>
              <wp:effectExtent l="0" t="0" r="0" b="0"/>
              <wp:wrapNone/>
              <wp:docPr id="3" name="文本框 2"/>
              <wp:cNvGraphicFramePr/>
              <a:graphic xmlns:a="http://schemas.openxmlformats.org/drawingml/2006/main">
                <a:graphicData uri="http://schemas.microsoft.com/office/word/2010/wordprocessingShape">
                  <wps:wsp>
                    <wps:cNvSpPr txBox="1"/>
                    <wps:spPr>
                      <a:xfrm>
                        <a:off x="0" y="0"/>
                        <a:ext cx="200025" cy="16891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square" lIns="0" tIns="0" rIns="0" bIns="0"/>
                  </wps:wsp>
                </a:graphicData>
              </a:graphic>
            </wp:anchor>
          </w:drawing>
        </mc:Choice>
        <mc:Fallback>
          <w:pict>
            <v:shape id="文本框 2" o:spid="_x0000_s1026" o:spt="202" type="#_x0000_t202" style="position:absolute;left:0pt;margin-left:197.9pt;margin-top:0pt;height:13.3pt;width:15.75pt;mso-position-horizontal-relative:margin;z-index:251660288;mso-width-relative:page;mso-height-relative:page;" filled="f" stroked="f" coordsize="21600,21600" o:gfxdata="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E9/hR1wAAAAcBAAAPAAAAAAAA&#10;AAEAIAAAACIAAABkcnMvZG93bnJldi54bWxQSwECFAAUAAAACACHTuJAIsnz06EBAAAlAwAADgAA&#10;AAAAAAABACAAAAAmAQAAZHJzL2Uyb0RvYy54bWxQSwUGAAAAAAYABgBZAQAAOQUAAAAA&#10;">
              <v:fill on="f" focussize="0,0"/>
              <v:stroke on="f"/>
              <v:imagedata o:title=""/>
              <o:lock v:ext="edit" aspectratio="f"/>
              <v:textbox inset="0mm,0mm,0mm,0mm">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posOffset>2513330</wp:posOffset>
              </wp:positionH>
              <wp:positionV relativeFrom="paragraph">
                <wp:posOffset>0</wp:posOffset>
              </wp:positionV>
              <wp:extent cx="200025" cy="1689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0025" cy="16891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square" lIns="0" tIns="0" rIns="0" bIns="0"/>
                  </wps:wsp>
                </a:graphicData>
              </a:graphic>
            </wp:anchor>
          </w:drawing>
        </mc:Choice>
        <mc:Fallback>
          <w:pict>
            <v:shape id="_x0000_s1026" o:spid="_x0000_s1026" o:spt="202" type="#_x0000_t202" style="position:absolute;left:0pt;margin-left:197.9pt;margin-top:0pt;height:13.3pt;width:15.75pt;mso-position-horizontal-relative:margin;z-index:251662336;mso-width-relative:page;mso-height-relative:page;" filled="f" stroked="f" coordsize="21600,21600" o:gfxdata="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E9/hR1wAAAAcBAAAPAAAAAAAA&#10;AAEAIAAAACIAAABkcnMvZG93bnJldi54bWxQSwECFAAUAAAACACHTuJAhD4nQaEBAAAlAwAADgAA&#10;AAAAAAABACAAAAAmAQAAZHJzL2Uyb0RvYy54bWxQSwUGAAAAAAYABgBZAQAAOQUAAAAA&#10;">
              <v:fill on="f" focussize="0,0"/>
              <v:stroke on="f"/>
              <v:imagedata o:title=""/>
              <o:lock v:ext="edit" aspectratio="f"/>
              <v:textbox inset="0mm,0mm,0mm,0mm">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00025" cy="168910"/>
              <wp:effectExtent l="0" t="0" r="0" b="0"/>
              <wp:wrapNone/>
              <wp:docPr id="5" name="文本框 2"/>
              <wp:cNvGraphicFramePr/>
              <a:graphic xmlns:a="http://schemas.openxmlformats.org/drawingml/2006/main">
                <a:graphicData uri="http://schemas.microsoft.com/office/word/2010/wordprocessingShape">
                  <wps:wsp>
                    <wps:cNvSpPr txBox="1"/>
                    <wps:spPr>
                      <a:xfrm>
                        <a:off x="0" y="0"/>
                        <a:ext cx="200025" cy="16891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square" lIns="0" tIns="0" rIns="0" bIns="0" anchor="t" anchorCtr="0"/>
                  </wps:wsp>
                </a:graphicData>
              </a:graphic>
            </wp:anchor>
          </w:drawing>
        </mc:Choice>
        <mc:Fallback>
          <w:pict>
            <v:shape id="文本框 2" o:spid="_x0000_s1026" o:spt="202" type="#_x0000_t202" style="position:absolute;left:0pt;margin-top:0pt;height:13.3pt;width:15.75pt;mso-position-horizontal:center;mso-position-horizontal-relative:margin;z-index:251661312;mso-width-relative:page;mso-height-relative:page;" filled="f" stroked="f" coordsize="21600,21600" o:gfxdata="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xe&#10;WWDTAAAAAwEAAA8AAAAAAAAAAQAgAAAAIgAAAGRycy9kb3ducmV2LnhtbFBLAQIUABQAAAAIAIdO&#10;4kCMB7EltgEAAEoDAAAOAAAAAAAAAAEAIAAAACIBAABkcnMvZTJvRG9jLnhtbFBLBQYAAAAABgAG&#10;AFkBAABKBQAAAAA=&#10;">
              <v:fill on="f" focussize="0,0"/>
              <v:stroke on="f"/>
              <v:imagedata o:title=""/>
              <o:lock v:ext="edit" aspectratio="f"/>
              <v:textbox inset="0mm,0mm,0mm,0mm">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3"/>
                              <w:sz w:val="21"/>
                              <w:szCs w:val="21"/>
                            </w:rPr>
                          </w:pPr>
                          <w:r>
                            <w:rPr>
                              <w:rStyle w:val="23"/>
                              <w:sz w:val="21"/>
                              <w:szCs w:val="21"/>
                            </w:rPr>
                            <w:fldChar w:fldCharType="begin"/>
                          </w:r>
                          <w:r>
                            <w:rPr>
                              <w:rStyle w:val="23"/>
                              <w:sz w:val="21"/>
                              <w:szCs w:val="21"/>
                            </w:rPr>
                            <w:instrText xml:space="preserve">PAGE  </w:instrText>
                          </w:r>
                          <w:r>
                            <w:rPr>
                              <w:rStyle w:val="23"/>
                              <w:sz w:val="21"/>
                              <w:szCs w:val="21"/>
                            </w:rPr>
                            <w:fldChar w:fldCharType="separate"/>
                          </w:r>
                          <w:r>
                            <w:rPr>
                              <w:rStyle w:val="23"/>
                              <w:sz w:val="21"/>
                              <w:szCs w:val="21"/>
                            </w:rPr>
                            <w:t>- 9 -</w:t>
                          </w:r>
                          <w:r>
                            <w:rPr>
                              <w:rStyle w:val="23"/>
                              <w:sz w:val="21"/>
                              <w:szCs w:val="21"/>
                            </w:rPr>
                            <w:fldChar w:fldCharType="end"/>
                          </w:r>
                        </w:p>
                      </w:txbxContent>
                    </wps:txbx>
                    <wps:bodyPr vert="horz" wrap="none" lIns="0" tIns="0" rIns="0" bIns="0" anchor="t" anchorCtr="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c9EsDvQEAAGQDAAAOAAAAAAAAAAEAIAAAAB4BAABkcnMvZTJvRG9jLnhtbFBLBQYAAAAA&#10;BgAGAFkBAABNBQAAAAA=&#10;">
              <v:fill on="f" focussize="0,0"/>
              <v:stroke on="f"/>
              <v:imagedata o:title=""/>
              <o:lock v:ext="edit" aspectratio="f"/>
              <v:textbox inset="0mm,0mm,0mm,0mm" style="mso-fit-shape-to-text:t;">
                <w:txbxContent>
                  <w:p>
                    <w:pPr>
                      <w:pStyle w:val="12"/>
                      <w:rPr>
                        <w:rStyle w:val="23"/>
                        <w:sz w:val="21"/>
                        <w:szCs w:val="21"/>
                      </w:rPr>
                    </w:pPr>
                    <w:r>
                      <w:rPr>
                        <w:rStyle w:val="23"/>
                        <w:sz w:val="21"/>
                        <w:szCs w:val="21"/>
                      </w:rPr>
                      <w:fldChar w:fldCharType="begin"/>
                    </w:r>
                    <w:r>
                      <w:rPr>
                        <w:rStyle w:val="23"/>
                        <w:sz w:val="21"/>
                        <w:szCs w:val="21"/>
                      </w:rPr>
                      <w:instrText xml:space="preserve">PAGE  </w:instrText>
                    </w:r>
                    <w:r>
                      <w:rPr>
                        <w:rStyle w:val="23"/>
                        <w:sz w:val="21"/>
                        <w:szCs w:val="21"/>
                      </w:rPr>
                      <w:fldChar w:fldCharType="separate"/>
                    </w:r>
                    <w:r>
                      <w:rPr>
                        <w:rStyle w:val="23"/>
                        <w:sz w:val="21"/>
                        <w:szCs w:val="21"/>
                      </w:rPr>
                      <w:t>- 9 -</w:t>
                    </w:r>
                    <w:r>
                      <w:rPr>
                        <w:rStyle w:val="23"/>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BF4C2"/>
    <w:multiLevelType w:val="singleLevel"/>
    <w:tmpl w:val="EFEBF4C2"/>
    <w:lvl w:ilvl="0" w:tentative="0">
      <w:start w:val="1"/>
      <w:numFmt w:val="decimal"/>
      <w:lvlText w:val=" %1"/>
      <w:lvlJc w:val="left"/>
      <w:pPr>
        <w:tabs>
          <w:tab w:val="left" w:pos="420"/>
        </w:tabs>
        <w:ind w:left="425" w:hanging="425"/>
      </w:pPr>
      <w:rPr>
        <w:rFonts w:hint="default" w:ascii="Times New Roman" w:hAnsi="Times New Roman" w:eastAsia="宋体" w:cs="宋体"/>
        <w:sz w:val="24"/>
      </w:rPr>
    </w:lvl>
  </w:abstractNum>
  <w:abstractNum w:abstractNumId="1">
    <w:nsid w:val="219DFC6E"/>
    <w:multiLevelType w:val="singleLevel"/>
    <w:tmpl w:val="219DFC6E"/>
    <w:lvl w:ilvl="0" w:tentative="0">
      <w:start w:val="5"/>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MjJmMGIxODcyNTY3NTFmYWJlMzc0NjRmMjQ1ZjIifQ=="/>
  </w:docVars>
  <w:rsids>
    <w:rsidRoot w:val="00EB60EE"/>
    <w:rsid w:val="00001A38"/>
    <w:rsid w:val="00015B5D"/>
    <w:rsid w:val="00017284"/>
    <w:rsid w:val="000173FF"/>
    <w:rsid w:val="00026BA0"/>
    <w:rsid w:val="00035C8C"/>
    <w:rsid w:val="00054522"/>
    <w:rsid w:val="00067D6E"/>
    <w:rsid w:val="00076B8A"/>
    <w:rsid w:val="00076FCD"/>
    <w:rsid w:val="00080189"/>
    <w:rsid w:val="000860FE"/>
    <w:rsid w:val="000913DE"/>
    <w:rsid w:val="000944A2"/>
    <w:rsid w:val="00095AB0"/>
    <w:rsid w:val="00096E9D"/>
    <w:rsid w:val="000B3DD3"/>
    <w:rsid w:val="000C04BF"/>
    <w:rsid w:val="000C1174"/>
    <w:rsid w:val="000C3529"/>
    <w:rsid w:val="000E53DB"/>
    <w:rsid w:val="000E6057"/>
    <w:rsid w:val="000E6113"/>
    <w:rsid w:val="000F2DF9"/>
    <w:rsid w:val="001214F8"/>
    <w:rsid w:val="001339A6"/>
    <w:rsid w:val="00136A28"/>
    <w:rsid w:val="001554E3"/>
    <w:rsid w:val="001563D9"/>
    <w:rsid w:val="001724AC"/>
    <w:rsid w:val="001773EF"/>
    <w:rsid w:val="0018166D"/>
    <w:rsid w:val="001870F5"/>
    <w:rsid w:val="0019190B"/>
    <w:rsid w:val="00191E1C"/>
    <w:rsid w:val="0019623F"/>
    <w:rsid w:val="001B468A"/>
    <w:rsid w:val="001C00BE"/>
    <w:rsid w:val="001C0A02"/>
    <w:rsid w:val="001C6019"/>
    <w:rsid w:val="001C7AFE"/>
    <w:rsid w:val="001D1C6B"/>
    <w:rsid w:val="001E4BF4"/>
    <w:rsid w:val="001E4FD0"/>
    <w:rsid w:val="001F1B0D"/>
    <w:rsid w:val="001F1FA2"/>
    <w:rsid w:val="001F2B74"/>
    <w:rsid w:val="001F74A6"/>
    <w:rsid w:val="00201969"/>
    <w:rsid w:val="00242B41"/>
    <w:rsid w:val="0024438E"/>
    <w:rsid w:val="002449E5"/>
    <w:rsid w:val="0026464D"/>
    <w:rsid w:val="002674A7"/>
    <w:rsid w:val="00272B72"/>
    <w:rsid w:val="00284BC7"/>
    <w:rsid w:val="0028562F"/>
    <w:rsid w:val="0028696B"/>
    <w:rsid w:val="002A24CC"/>
    <w:rsid w:val="002A5B77"/>
    <w:rsid w:val="002B7F86"/>
    <w:rsid w:val="002C5A04"/>
    <w:rsid w:val="002C7133"/>
    <w:rsid w:val="002E1A2D"/>
    <w:rsid w:val="002F634A"/>
    <w:rsid w:val="002F71C3"/>
    <w:rsid w:val="0030026A"/>
    <w:rsid w:val="00303BFE"/>
    <w:rsid w:val="00307952"/>
    <w:rsid w:val="003301AB"/>
    <w:rsid w:val="00352367"/>
    <w:rsid w:val="00353360"/>
    <w:rsid w:val="00360FC9"/>
    <w:rsid w:val="0037526F"/>
    <w:rsid w:val="00376093"/>
    <w:rsid w:val="003804D6"/>
    <w:rsid w:val="00380B56"/>
    <w:rsid w:val="00394273"/>
    <w:rsid w:val="003A334B"/>
    <w:rsid w:val="003C4E88"/>
    <w:rsid w:val="003D43B2"/>
    <w:rsid w:val="003D7D2F"/>
    <w:rsid w:val="003E0396"/>
    <w:rsid w:val="003E18EA"/>
    <w:rsid w:val="003E5856"/>
    <w:rsid w:val="003F41D1"/>
    <w:rsid w:val="00410C57"/>
    <w:rsid w:val="004130DC"/>
    <w:rsid w:val="00423A28"/>
    <w:rsid w:val="0043147B"/>
    <w:rsid w:val="00431D49"/>
    <w:rsid w:val="00433746"/>
    <w:rsid w:val="004361E1"/>
    <w:rsid w:val="00443D49"/>
    <w:rsid w:val="00445B04"/>
    <w:rsid w:val="004708DD"/>
    <w:rsid w:val="00472BA5"/>
    <w:rsid w:val="004953FA"/>
    <w:rsid w:val="004B14FE"/>
    <w:rsid w:val="004C271C"/>
    <w:rsid w:val="004C5B55"/>
    <w:rsid w:val="004D7610"/>
    <w:rsid w:val="004E74DF"/>
    <w:rsid w:val="004F020C"/>
    <w:rsid w:val="00513AD1"/>
    <w:rsid w:val="00515ABA"/>
    <w:rsid w:val="00516BD0"/>
    <w:rsid w:val="0052314A"/>
    <w:rsid w:val="00531E11"/>
    <w:rsid w:val="00533AEC"/>
    <w:rsid w:val="00545965"/>
    <w:rsid w:val="005614CB"/>
    <w:rsid w:val="005639B6"/>
    <w:rsid w:val="00564C2A"/>
    <w:rsid w:val="0057748F"/>
    <w:rsid w:val="005840F0"/>
    <w:rsid w:val="005A0600"/>
    <w:rsid w:val="005A2883"/>
    <w:rsid w:val="005A7965"/>
    <w:rsid w:val="005D177A"/>
    <w:rsid w:val="005F1BF2"/>
    <w:rsid w:val="005F3386"/>
    <w:rsid w:val="005F349D"/>
    <w:rsid w:val="005F50DA"/>
    <w:rsid w:val="005F5430"/>
    <w:rsid w:val="0061199A"/>
    <w:rsid w:val="006141DB"/>
    <w:rsid w:val="006310A5"/>
    <w:rsid w:val="00640243"/>
    <w:rsid w:val="00645422"/>
    <w:rsid w:val="00654E10"/>
    <w:rsid w:val="006709A9"/>
    <w:rsid w:val="00676029"/>
    <w:rsid w:val="00687059"/>
    <w:rsid w:val="00695884"/>
    <w:rsid w:val="006C397B"/>
    <w:rsid w:val="006C6AF3"/>
    <w:rsid w:val="006C7585"/>
    <w:rsid w:val="006D62E1"/>
    <w:rsid w:val="006D6F3B"/>
    <w:rsid w:val="006D7311"/>
    <w:rsid w:val="006E1947"/>
    <w:rsid w:val="00704A3D"/>
    <w:rsid w:val="00704EB3"/>
    <w:rsid w:val="00714EB0"/>
    <w:rsid w:val="00724552"/>
    <w:rsid w:val="00737264"/>
    <w:rsid w:val="00747392"/>
    <w:rsid w:val="0075208A"/>
    <w:rsid w:val="00752B01"/>
    <w:rsid w:val="00754D40"/>
    <w:rsid w:val="00760C33"/>
    <w:rsid w:val="00763673"/>
    <w:rsid w:val="00764F30"/>
    <w:rsid w:val="007709B3"/>
    <w:rsid w:val="00770C60"/>
    <w:rsid w:val="00783ED2"/>
    <w:rsid w:val="00796979"/>
    <w:rsid w:val="007A14F4"/>
    <w:rsid w:val="007A636C"/>
    <w:rsid w:val="007B44B5"/>
    <w:rsid w:val="007C30A0"/>
    <w:rsid w:val="007C61D8"/>
    <w:rsid w:val="007D6A53"/>
    <w:rsid w:val="007D7B59"/>
    <w:rsid w:val="007E2131"/>
    <w:rsid w:val="00801F10"/>
    <w:rsid w:val="008039D6"/>
    <w:rsid w:val="00816B06"/>
    <w:rsid w:val="00833708"/>
    <w:rsid w:val="008342AD"/>
    <w:rsid w:val="00840B33"/>
    <w:rsid w:val="00840C75"/>
    <w:rsid w:val="00844469"/>
    <w:rsid w:val="00874ED0"/>
    <w:rsid w:val="00883EBC"/>
    <w:rsid w:val="008906FD"/>
    <w:rsid w:val="00892933"/>
    <w:rsid w:val="00892A9D"/>
    <w:rsid w:val="00892BC7"/>
    <w:rsid w:val="008A0CF4"/>
    <w:rsid w:val="008A29F8"/>
    <w:rsid w:val="008B33B3"/>
    <w:rsid w:val="008B43C9"/>
    <w:rsid w:val="008B6F6D"/>
    <w:rsid w:val="008C350D"/>
    <w:rsid w:val="008E58AF"/>
    <w:rsid w:val="008E6614"/>
    <w:rsid w:val="008E6893"/>
    <w:rsid w:val="008F6A34"/>
    <w:rsid w:val="0091029B"/>
    <w:rsid w:val="00915B5E"/>
    <w:rsid w:val="00915ED7"/>
    <w:rsid w:val="00925BFF"/>
    <w:rsid w:val="00930E28"/>
    <w:rsid w:val="00932C84"/>
    <w:rsid w:val="00946617"/>
    <w:rsid w:val="00962FA1"/>
    <w:rsid w:val="00986183"/>
    <w:rsid w:val="00986B78"/>
    <w:rsid w:val="009906C2"/>
    <w:rsid w:val="009A59AC"/>
    <w:rsid w:val="009A60B8"/>
    <w:rsid w:val="009C2A95"/>
    <w:rsid w:val="009C64F5"/>
    <w:rsid w:val="009C6930"/>
    <w:rsid w:val="009D38DE"/>
    <w:rsid w:val="009D6C2B"/>
    <w:rsid w:val="009F3B43"/>
    <w:rsid w:val="009F61EF"/>
    <w:rsid w:val="009F7FE9"/>
    <w:rsid w:val="00A06BB3"/>
    <w:rsid w:val="00A22F7F"/>
    <w:rsid w:val="00A271C4"/>
    <w:rsid w:val="00A2733C"/>
    <w:rsid w:val="00A274CA"/>
    <w:rsid w:val="00A52914"/>
    <w:rsid w:val="00A54F9E"/>
    <w:rsid w:val="00A56CB1"/>
    <w:rsid w:val="00A648F7"/>
    <w:rsid w:val="00A82737"/>
    <w:rsid w:val="00A91662"/>
    <w:rsid w:val="00A9513A"/>
    <w:rsid w:val="00AD5461"/>
    <w:rsid w:val="00AD5743"/>
    <w:rsid w:val="00AE556D"/>
    <w:rsid w:val="00B0202B"/>
    <w:rsid w:val="00B051A7"/>
    <w:rsid w:val="00B1040A"/>
    <w:rsid w:val="00B17E5E"/>
    <w:rsid w:val="00B221E4"/>
    <w:rsid w:val="00B23A28"/>
    <w:rsid w:val="00B31488"/>
    <w:rsid w:val="00B31DA8"/>
    <w:rsid w:val="00B40397"/>
    <w:rsid w:val="00B40FEB"/>
    <w:rsid w:val="00B50393"/>
    <w:rsid w:val="00B74FFF"/>
    <w:rsid w:val="00B846D9"/>
    <w:rsid w:val="00B95A54"/>
    <w:rsid w:val="00B9752B"/>
    <w:rsid w:val="00BA785B"/>
    <w:rsid w:val="00BB0758"/>
    <w:rsid w:val="00BB3A63"/>
    <w:rsid w:val="00BC37E8"/>
    <w:rsid w:val="00BD188C"/>
    <w:rsid w:val="00BE765A"/>
    <w:rsid w:val="00BE7B22"/>
    <w:rsid w:val="00BF7E92"/>
    <w:rsid w:val="00C106C1"/>
    <w:rsid w:val="00C11291"/>
    <w:rsid w:val="00C11782"/>
    <w:rsid w:val="00C13710"/>
    <w:rsid w:val="00C17C30"/>
    <w:rsid w:val="00C34B05"/>
    <w:rsid w:val="00C422B2"/>
    <w:rsid w:val="00C427F9"/>
    <w:rsid w:val="00C44BFF"/>
    <w:rsid w:val="00C45C01"/>
    <w:rsid w:val="00C50F50"/>
    <w:rsid w:val="00C55D60"/>
    <w:rsid w:val="00C73481"/>
    <w:rsid w:val="00C75DFE"/>
    <w:rsid w:val="00C768A8"/>
    <w:rsid w:val="00C80DE0"/>
    <w:rsid w:val="00C859D3"/>
    <w:rsid w:val="00C87885"/>
    <w:rsid w:val="00CA0BAB"/>
    <w:rsid w:val="00CA781E"/>
    <w:rsid w:val="00CD0CA9"/>
    <w:rsid w:val="00CE1436"/>
    <w:rsid w:val="00CF3157"/>
    <w:rsid w:val="00CF51B1"/>
    <w:rsid w:val="00D00B3E"/>
    <w:rsid w:val="00D20453"/>
    <w:rsid w:val="00D2483A"/>
    <w:rsid w:val="00D2529C"/>
    <w:rsid w:val="00D31C28"/>
    <w:rsid w:val="00D5068F"/>
    <w:rsid w:val="00D54E40"/>
    <w:rsid w:val="00D75634"/>
    <w:rsid w:val="00D8336D"/>
    <w:rsid w:val="00D842B9"/>
    <w:rsid w:val="00DA24DA"/>
    <w:rsid w:val="00DB0B38"/>
    <w:rsid w:val="00DC45AC"/>
    <w:rsid w:val="00DD3196"/>
    <w:rsid w:val="00DD71D6"/>
    <w:rsid w:val="00DE1467"/>
    <w:rsid w:val="00DE5275"/>
    <w:rsid w:val="00DE648B"/>
    <w:rsid w:val="00E01834"/>
    <w:rsid w:val="00E0724D"/>
    <w:rsid w:val="00E20646"/>
    <w:rsid w:val="00E25512"/>
    <w:rsid w:val="00E46427"/>
    <w:rsid w:val="00E5234C"/>
    <w:rsid w:val="00E9002A"/>
    <w:rsid w:val="00E909CD"/>
    <w:rsid w:val="00E94441"/>
    <w:rsid w:val="00E94F23"/>
    <w:rsid w:val="00E97141"/>
    <w:rsid w:val="00EB203A"/>
    <w:rsid w:val="00EB5BCC"/>
    <w:rsid w:val="00EB60EE"/>
    <w:rsid w:val="00ED12EA"/>
    <w:rsid w:val="00ED62A4"/>
    <w:rsid w:val="00EF1CB2"/>
    <w:rsid w:val="00EF4625"/>
    <w:rsid w:val="00EF6C93"/>
    <w:rsid w:val="00F142C9"/>
    <w:rsid w:val="00F21EE8"/>
    <w:rsid w:val="00F2223D"/>
    <w:rsid w:val="00F2484D"/>
    <w:rsid w:val="00F321D3"/>
    <w:rsid w:val="00F446F6"/>
    <w:rsid w:val="00F5210E"/>
    <w:rsid w:val="00F52C0C"/>
    <w:rsid w:val="00F63D4F"/>
    <w:rsid w:val="00F64144"/>
    <w:rsid w:val="00F76C73"/>
    <w:rsid w:val="00FB446B"/>
    <w:rsid w:val="00FC130D"/>
    <w:rsid w:val="00FD232F"/>
    <w:rsid w:val="01372D21"/>
    <w:rsid w:val="014203C5"/>
    <w:rsid w:val="01592BA7"/>
    <w:rsid w:val="016D0D7B"/>
    <w:rsid w:val="01721756"/>
    <w:rsid w:val="017B11E4"/>
    <w:rsid w:val="017D4F5C"/>
    <w:rsid w:val="01944054"/>
    <w:rsid w:val="01B1062C"/>
    <w:rsid w:val="01BB7833"/>
    <w:rsid w:val="01D34B7C"/>
    <w:rsid w:val="01EA083C"/>
    <w:rsid w:val="01F12C93"/>
    <w:rsid w:val="01F9035B"/>
    <w:rsid w:val="02203B3A"/>
    <w:rsid w:val="02227582"/>
    <w:rsid w:val="0224600F"/>
    <w:rsid w:val="02343ED6"/>
    <w:rsid w:val="023A6D37"/>
    <w:rsid w:val="024820D6"/>
    <w:rsid w:val="024A6EB9"/>
    <w:rsid w:val="02587777"/>
    <w:rsid w:val="029466A4"/>
    <w:rsid w:val="02A209F3"/>
    <w:rsid w:val="02B676DA"/>
    <w:rsid w:val="02C35A79"/>
    <w:rsid w:val="02CB619B"/>
    <w:rsid w:val="02D702A9"/>
    <w:rsid w:val="02E46D6A"/>
    <w:rsid w:val="02E46DF8"/>
    <w:rsid w:val="02F07327"/>
    <w:rsid w:val="031418F0"/>
    <w:rsid w:val="03190CB5"/>
    <w:rsid w:val="032D650E"/>
    <w:rsid w:val="033447B7"/>
    <w:rsid w:val="034966C5"/>
    <w:rsid w:val="03532F5D"/>
    <w:rsid w:val="037B54CB"/>
    <w:rsid w:val="03B92498"/>
    <w:rsid w:val="03D11F0E"/>
    <w:rsid w:val="03F139E0"/>
    <w:rsid w:val="0414147C"/>
    <w:rsid w:val="041B6A58"/>
    <w:rsid w:val="041D6583"/>
    <w:rsid w:val="04241E75"/>
    <w:rsid w:val="04243DB5"/>
    <w:rsid w:val="042C0EBC"/>
    <w:rsid w:val="043231F3"/>
    <w:rsid w:val="045B318A"/>
    <w:rsid w:val="045E3357"/>
    <w:rsid w:val="04671EF4"/>
    <w:rsid w:val="0479419C"/>
    <w:rsid w:val="047B1B3E"/>
    <w:rsid w:val="047B1F91"/>
    <w:rsid w:val="048B7990"/>
    <w:rsid w:val="049C1B9D"/>
    <w:rsid w:val="04A70542"/>
    <w:rsid w:val="04A83E3F"/>
    <w:rsid w:val="04AC053E"/>
    <w:rsid w:val="04B15528"/>
    <w:rsid w:val="04C55066"/>
    <w:rsid w:val="04D167C6"/>
    <w:rsid w:val="04D67178"/>
    <w:rsid w:val="04E377CC"/>
    <w:rsid w:val="04E627DB"/>
    <w:rsid w:val="05041D5F"/>
    <w:rsid w:val="05311FB3"/>
    <w:rsid w:val="05387220"/>
    <w:rsid w:val="054C49BE"/>
    <w:rsid w:val="056735C4"/>
    <w:rsid w:val="05834B0B"/>
    <w:rsid w:val="059C5BCD"/>
    <w:rsid w:val="05A013EE"/>
    <w:rsid w:val="05BE5B43"/>
    <w:rsid w:val="05C84C14"/>
    <w:rsid w:val="05F41565"/>
    <w:rsid w:val="06180FF8"/>
    <w:rsid w:val="062F1F19"/>
    <w:rsid w:val="06312589"/>
    <w:rsid w:val="06316315"/>
    <w:rsid w:val="066761DB"/>
    <w:rsid w:val="06720607"/>
    <w:rsid w:val="069114AA"/>
    <w:rsid w:val="06A10421"/>
    <w:rsid w:val="06C70A28"/>
    <w:rsid w:val="06CF43CA"/>
    <w:rsid w:val="06DA3543"/>
    <w:rsid w:val="07610E7C"/>
    <w:rsid w:val="077A2F74"/>
    <w:rsid w:val="079C0106"/>
    <w:rsid w:val="07BF60A0"/>
    <w:rsid w:val="07BF77A6"/>
    <w:rsid w:val="07EA2C20"/>
    <w:rsid w:val="081A339A"/>
    <w:rsid w:val="081E6213"/>
    <w:rsid w:val="08271D88"/>
    <w:rsid w:val="085D01BB"/>
    <w:rsid w:val="08652A86"/>
    <w:rsid w:val="08BF40AC"/>
    <w:rsid w:val="08CE609D"/>
    <w:rsid w:val="08D23F1B"/>
    <w:rsid w:val="08D412B5"/>
    <w:rsid w:val="08DB3107"/>
    <w:rsid w:val="08DC5452"/>
    <w:rsid w:val="09076295"/>
    <w:rsid w:val="090C4E18"/>
    <w:rsid w:val="0912139A"/>
    <w:rsid w:val="09182D83"/>
    <w:rsid w:val="091D417A"/>
    <w:rsid w:val="0949172A"/>
    <w:rsid w:val="094F7A7F"/>
    <w:rsid w:val="097D074F"/>
    <w:rsid w:val="0983288B"/>
    <w:rsid w:val="099077F7"/>
    <w:rsid w:val="09FA0E47"/>
    <w:rsid w:val="0A132A38"/>
    <w:rsid w:val="0A1B112C"/>
    <w:rsid w:val="0A3C1244"/>
    <w:rsid w:val="0A665632"/>
    <w:rsid w:val="0A696084"/>
    <w:rsid w:val="0A894972"/>
    <w:rsid w:val="0A8B06E8"/>
    <w:rsid w:val="0A8C70C1"/>
    <w:rsid w:val="0AB451E4"/>
    <w:rsid w:val="0ABC618E"/>
    <w:rsid w:val="0ADB714E"/>
    <w:rsid w:val="0ADD14DA"/>
    <w:rsid w:val="0AE324B0"/>
    <w:rsid w:val="0B3B6FE1"/>
    <w:rsid w:val="0B406AF5"/>
    <w:rsid w:val="0B552AA6"/>
    <w:rsid w:val="0B705B32"/>
    <w:rsid w:val="0BAD1BD9"/>
    <w:rsid w:val="0BE54E32"/>
    <w:rsid w:val="0C0A15BD"/>
    <w:rsid w:val="0C1D4587"/>
    <w:rsid w:val="0C412CE6"/>
    <w:rsid w:val="0C880407"/>
    <w:rsid w:val="0C9B3C30"/>
    <w:rsid w:val="0CAC1A03"/>
    <w:rsid w:val="0CB6783F"/>
    <w:rsid w:val="0CD12600"/>
    <w:rsid w:val="0CDA7707"/>
    <w:rsid w:val="0CED3655"/>
    <w:rsid w:val="0CF63FFA"/>
    <w:rsid w:val="0D3D7C96"/>
    <w:rsid w:val="0D5E0F84"/>
    <w:rsid w:val="0D7862D2"/>
    <w:rsid w:val="0D9A0C44"/>
    <w:rsid w:val="0DA3207F"/>
    <w:rsid w:val="0DA43BF1"/>
    <w:rsid w:val="0DB72F20"/>
    <w:rsid w:val="0DCE412D"/>
    <w:rsid w:val="0E0407B3"/>
    <w:rsid w:val="0E0D7668"/>
    <w:rsid w:val="0E0F33E0"/>
    <w:rsid w:val="0E3B2427"/>
    <w:rsid w:val="0E4B1F3E"/>
    <w:rsid w:val="0E590B8F"/>
    <w:rsid w:val="0E5A6DCC"/>
    <w:rsid w:val="0E5C239D"/>
    <w:rsid w:val="0E603DE4"/>
    <w:rsid w:val="0E6B03AB"/>
    <w:rsid w:val="0E9A1DA0"/>
    <w:rsid w:val="0E9C279A"/>
    <w:rsid w:val="0ED72571"/>
    <w:rsid w:val="0EEC3721"/>
    <w:rsid w:val="0F5016BA"/>
    <w:rsid w:val="0F537A11"/>
    <w:rsid w:val="0F61353A"/>
    <w:rsid w:val="0F8B02EB"/>
    <w:rsid w:val="0F9F5E18"/>
    <w:rsid w:val="0FA1275E"/>
    <w:rsid w:val="0FCC5DB0"/>
    <w:rsid w:val="0FD07CD7"/>
    <w:rsid w:val="0FD813A5"/>
    <w:rsid w:val="0FED5243"/>
    <w:rsid w:val="0FFC6529"/>
    <w:rsid w:val="101A42BE"/>
    <w:rsid w:val="10505F32"/>
    <w:rsid w:val="105375E4"/>
    <w:rsid w:val="10715701"/>
    <w:rsid w:val="109575C0"/>
    <w:rsid w:val="10A050F3"/>
    <w:rsid w:val="10B377B8"/>
    <w:rsid w:val="10B84D24"/>
    <w:rsid w:val="10BE2E9B"/>
    <w:rsid w:val="10D1490E"/>
    <w:rsid w:val="10D73F5D"/>
    <w:rsid w:val="10DE719A"/>
    <w:rsid w:val="10F13271"/>
    <w:rsid w:val="110034B4"/>
    <w:rsid w:val="11165808"/>
    <w:rsid w:val="1125116C"/>
    <w:rsid w:val="11260036"/>
    <w:rsid w:val="11297D12"/>
    <w:rsid w:val="11751822"/>
    <w:rsid w:val="11936B39"/>
    <w:rsid w:val="11AB0832"/>
    <w:rsid w:val="11B04EDA"/>
    <w:rsid w:val="11B36778"/>
    <w:rsid w:val="11BD425C"/>
    <w:rsid w:val="11C71254"/>
    <w:rsid w:val="11F03528"/>
    <w:rsid w:val="120D7D6C"/>
    <w:rsid w:val="121D0D45"/>
    <w:rsid w:val="1242573A"/>
    <w:rsid w:val="12573F56"/>
    <w:rsid w:val="125A4E46"/>
    <w:rsid w:val="12697580"/>
    <w:rsid w:val="126B0E01"/>
    <w:rsid w:val="12887700"/>
    <w:rsid w:val="129D1D41"/>
    <w:rsid w:val="12CF71FE"/>
    <w:rsid w:val="12D06EB6"/>
    <w:rsid w:val="12D22C2E"/>
    <w:rsid w:val="12FC27FD"/>
    <w:rsid w:val="130A23C8"/>
    <w:rsid w:val="13143247"/>
    <w:rsid w:val="13155416"/>
    <w:rsid w:val="13195C41"/>
    <w:rsid w:val="13207E3D"/>
    <w:rsid w:val="132C0489"/>
    <w:rsid w:val="13376E43"/>
    <w:rsid w:val="1341251E"/>
    <w:rsid w:val="1355718A"/>
    <w:rsid w:val="13597233"/>
    <w:rsid w:val="136E6DFB"/>
    <w:rsid w:val="13795DC1"/>
    <w:rsid w:val="139A4983"/>
    <w:rsid w:val="13BA3DEE"/>
    <w:rsid w:val="13BB1E4D"/>
    <w:rsid w:val="13C95DDF"/>
    <w:rsid w:val="13CE7899"/>
    <w:rsid w:val="13EB3337"/>
    <w:rsid w:val="13FD3CDB"/>
    <w:rsid w:val="140E7C96"/>
    <w:rsid w:val="14134B87"/>
    <w:rsid w:val="14357918"/>
    <w:rsid w:val="14555D8E"/>
    <w:rsid w:val="146253A9"/>
    <w:rsid w:val="14691EE8"/>
    <w:rsid w:val="14747110"/>
    <w:rsid w:val="14755F67"/>
    <w:rsid w:val="14834D35"/>
    <w:rsid w:val="149C5646"/>
    <w:rsid w:val="14D22F3B"/>
    <w:rsid w:val="15001CD4"/>
    <w:rsid w:val="15114EC1"/>
    <w:rsid w:val="15273705"/>
    <w:rsid w:val="152D239E"/>
    <w:rsid w:val="152D50C1"/>
    <w:rsid w:val="15361FA3"/>
    <w:rsid w:val="15367865"/>
    <w:rsid w:val="153E635B"/>
    <w:rsid w:val="15415E49"/>
    <w:rsid w:val="15597F0E"/>
    <w:rsid w:val="155C2B54"/>
    <w:rsid w:val="15772065"/>
    <w:rsid w:val="157D50D3"/>
    <w:rsid w:val="157E654D"/>
    <w:rsid w:val="159E24CA"/>
    <w:rsid w:val="15C060AC"/>
    <w:rsid w:val="15C53685"/>
    <w:rsid w:val="15D171CD"/>
    <w:rsid w:val="15D85F15"/>
    <w:rsid w:val="15FD2721"/>
    <w:rsid w:val="161A6931"/>
    <w:rsid w:val="161E34FC"/>
    <w:rsid w:val="163836F0"/>
    <w:rsid w:val="16465E0D"/>
    <w:rsid w:val="16727771"/>
    <w:rsid w:val="16881EFD"/>
    <w:rsid w:val="169E3669"/>
    <w:rsid w:val="16D83A00"/>
    <w:rsid w:val="16E96798"/>
    <w:rsid w:val="16F2389F"/>
    <w:rsid w:val="16F818C7"/>
    <w:rsid w:val="171C4C02"/>
    <w:rsid w:val="171F2503"/>
    <w:rsid w:val="172617DF"/>
    <w:rsid w:val="17327291"/>
    <w:rsid w:val="175B7696"/>
    <w:rsid w:val="1767603B"/>
    <w:rsid w:val="176E25AE"/>
    <w:rsid w:val="177E3384"/>
    <w:rsid w:val="17966920"/>
    <w:rsid w:val="17BE4CD6"/>
    <w:rsid w:val="17C05F99"/>
    <w:rsid w:val="17E72CD8"/>
    <w:rsid w:val="17F47CCB"/>
    <w:rsid w:val="17F65611"/>
    <w:rsid w:val="1804436B"/>
    <w:rsid w:val="18194E5B"/>
    <w:rsid w:val="18416322"/>
    <w:rsid w:val="184B770B"/>
    <w:rsid w:val="185A3DD8"/>
    <w:rsid w:val="18650BEA"/>
    <w:rsid w:val="186F67DB"/>
    <w:rsid w:val="187F4254"/>
    <w:rsid w:val="18916BCB"/>
    <w:rsid w:val="18A4506D"/>
    <w:rsid w:val="18A87B87"/>
    <w:rsid w:val="18AF357A"/>
    <w:rsid w:val="18BF5A03"/>
    <w:rsid w:val="18E62662"/>
    <w:rsid w:val="18E75636"/>
    <w:rsid w:val="18FF22A3"/>
    <w:rsid w:val="190D7351"/>
    <w:rsid w:val="19204E18"/>
    <w:rsid w:val="19263CD4"/>
    <w:rsid w:val="19314B52"/>
    <w:rsid w:val="194109C6"/>
    <w:rsid w:val="19483C4A"/>
    <w:rsid w:val="195F2D42"/>
    <w:rsid w:val="1966394A"/>
    <w:rsid w:val="19842237"/>
    <w:rsid w:val="19845DBB"/>
    <w:rsid w:val="199450E1"/>
    <w:rsid w:val="1997072D"/>
    <w:rsid w:val="19A215AC"/>
    <w:rsid w:val="19B84863"/>
    <w:rsid w:val="19CD7441"/>
    <w:rsid w:val="19F87749"/>
    <w:rsid w:val="19F93196"/>
    <w:rsid w:val="1A0538E9"/>
    <w:rsid w:val="1A186BB4"/>
    <w:rsid w:val="1A266807"/>
    <w:rsid w:val="1A415C0B"/>
    <w:rsid w:val="1A70068F"/>
    <w:rsid w:val="1A794165"/>
    <w:rsid w:val="1A8435B7"/>
    <w:rsid w:val="1A8E2FD6"/>
    <w:rsid w:val="1A907657"/>
    <w:rsid w:val="1A937147"/>
    <w:rsid w:val="1AB36AD5"/>
    <w:rsid w:val="1AD05CA5"/>
    <w:rsid w:val="1AEF50E6"/>
    <w:rsid w:val="1AFF231E"/>
    <w:rsid w:val="1B0F40F3"/>
    <w:rsid w:val="1B1B527C"/>
    <w:rsid w:val="1B2A7AAB"/>
    <w:rsid w:val="1B446693"/>
    <w:rsid w:val="1B495A57"/>
    <w:rsid w:val="1B4C57EB"/>
    <w:rsid w:val="1B4E306E"/>
    <w:rsid w:val="1B593EEC"/>
    <w:rsid w:val="1B9E5DA3"/>
    <w:rsid w:val="1BA84E74"/>
    <w:rsid w:val="1BCF374C"/>
    <w:rsid w:val="1BE21FCF"/>
    <w:rsid w:val="1C1E0C92"/>
    <w:rsid w:val="1C224C26"/>
    <w:rsid w:val="1C415AC5"/>
    <w:rsid w:val="1C56667E"/>
    <w:rsid w:val="1C640D9B"/>
    <w:rsid w:val="1C662D65"/>
    <w:rsid w:val="1C782A98"/>
    <w:rsid w:val="1C9743CC"/>
    <w:rsid w:val="1CED3DE9"/>
    <w:rsid w:val="1D0D75FA"/>
    <w:rsid w:val="1D1F1498"/>
    <w:rsid w:val="1D435579"/>
    <w:rsid w:val="1D4F7304"/>
    <w:rsid w:val="1D5410DB"/>
    <w:rsid w:val="1D814ED0"/>
    <w:rsid w:val="1D8334A3"/>
    <w:rsid w:val="1D8D2B04"/>
    <w:rsid w:val="1D9B585E"/>
    <w:rsid w:val="1D9B6A3E"/>
    <w:rsid w:val="1DA43419"/>
    <w:rsid w:val="1DD849C1"/>
    <w:rsid w:val="1DDB32DF"/>
    <w:rsid w:val="1DE81558"/>
    <w:rsid w:val="1DEE24A5"/>
    <w:rsid w:val="1E4F6925"/>
    <w:rsid w:val="1E9D47F9"/>
    <w:rsid w:val="1EA00084"/>
    <w:rsid w:val="1EA47B74"/>
    <w:rsid w:val="1EA9007A"/>
    <w:rsid w:val="1EB97384"/>
    <w:rsid w:val="1EC10726"/>
    <w:rsid w:val="1ED32042"/>
    <w:rsid w:val="1F011179"/>
    <w:rsid w:val="1F290D2C"/>
    <w:rsid w:val="1F3218FB"/>
    <w:rsid w:val="1F334A54"/>
    <w:rsid w:val="1F69491A"/>
    <w:rsid w:val="1F7921D7"/>
    <w:rsid w:val="1F8D1B58"/>
    <w:rsid w:val="1FB8666E"/>
    <w:rsid w:val="1FD04999"/>
    <w:rsid w:val="1FE02E2E"/>
    <w:rsid w:val="1FEF492C"/>
    <w:rsid w:val="1FF00B97"/>
    <w:rsid w:val="1FF22B62"/>
    <w:rsid w:val="1FF7725A"/>
    <w:rsid w:val="1FFC753C"/>
    <w:rsid w:val="201E1A51"/>
    <w:rsid w:val="202D5948"/>
    <w:rsid w:val="203254F3"/>
    <w:rsid w:val="20382951"/>
    <w:rsid w:val="20541126"/>
    <w:rsid w:val="207C5F86"/>
    <w:rsid w:val="20B66E25"/>
    <w:rsid w:val="20BC4AE0"/>
    <w:rsid w:val="20C05307"/>
    <w:rsid w:val="20C143A2"/>
    <w:rsid w:val="20C43FF9"/>
    <w:rsid w:val="20C933D3"/>
    <w:rsid w:val="20DF4C88"/>
    <w:rsid w:val="20E06E5E"/>
    <w:rsid w:val="20E72FFE"/>
    <w:rsid w:val="20F61040"/>
    <w:rsid w:val="20F84372"/>
    <w:rsid w:val="20FD2F21"/>
    <w:rsid w:val="21222FD3"/>
    <w:rsid w:val="21240AF9"/>
    <w:rsid w:val="213571AA"/>
    <w:rsid w:val="215C1BEC"/>
    <w:rsid w:val="217512F9"/>
    <w:rsid w:val="21894E00"/>
    <w:rsid w:val="218B5F14"/>
    <w:rsid w:val="218B720A"/>
    <w:rsid w:val="21975F61"/>
    <w:rsid w:val="21A165ED"/>
    <w:rsid w:val="21A63C04"/>
    <w:rsid w:val="21A67760"/>
    <w:rsid w:val="21AD6D40"/>
    <w:rsid w:val="21E32762"/>
    <w:rsid w:val="21F36C2E"/>
    <w:rsid w:val="22075AD7"/>
    <w:rsid w:val="220D3C83"/>
    <w:rsid w:val="221E3C93"/>
    <w:rsid w:val="221F7512"/>
    <w:rsid w:val="222F1E4B"/>
    <w:rsid w:val="22301DEF"/>
    <w:rsid w:val="22332C7B"/>
    <w:rsid w:val="22362F9A"/>
    <w:rsid w:val="22625D7D"/>
    <w:rsid w:val="22632E1D"/>
    <w:rsid w:val="228D3FB5"/>
    <w:rsid w:val="22A53B88"/>
    <w:rsid w:val="22C5630B"/>
    <w:rsid w:val="22C96C2A"/>
    <w:rsid w:val="22D62F55"/>
    <w:rsid w:val="22DA6461"/>
    <w:rsid w:val="22EB2B86"/>
    <w:rsid w:val="22F6354E"/>
    <w:rsid w:val="23056236"/>
    <w:rsid w:val="2322375E"/>
    <w:rsid w:val="23425BAE"/>
    <w:rsid w:val="2351194D"/>
    <w:rsid w:val="23765646"/>
    <w:rsid w:val="23775F59"/>
    <w:rsid w:val="237D224F"/>
    <w:rsid w:val="23A979DB"/>
    <w:rsid w:val="23AF6C54"/>
    <w:rsid w:val="23B874BB"/>
    <w:rsid w:val="23BB0203"/>
    <w:rsid w:val="23CE65AE"/>
    <w:rsid w:val="23D0386F"/>
    <w:rsid w:val="23DD7F43"/>
    <w:rsid w:val="23DE6711"/>
    <w:rsid w:val="23E36AF8"/>
    <w:rsid w:val="23E85035"/>
    <w:rsid w:val="23F50BDD"/>
    <w:rsid w:val="23FA1FE5"/>
    <w:rsid w:val="241C78E1"/>
    <w:rsid w:val="24207C9D"/>
    <w:rsid w:val="243A27F1"/>
    <w:rsid w:val="2445345B"/>
    <w:rsid w:val="244A6AC8"/>
    <w:rsid w:val="24540A05"/>
    <w:rsid w:val="245711E5"/>
    <w:rsid w:val="2463432D"/>
    <w:rsid w:val="24635540"/>
    <w:rsid w:val="246D6CB0"/>
    <w:rsid w:val="24861ACA"/>
    <w:rsid w:val="248F4E23"/>
    <w:rsid w:val="249B7324"/>
    <w:rsid w:val="249C7163"/>
    <w:rsid w:val="24A02216"/>
    <w:rsid w:val="24A563F4"/>
    <w:rsid w:val="24C350B6"/>
    <w:rsid w:val="24C4041A"/>
    <w:rsid w:val="24C7636B"/>
    <w:rsid w:val="24CA19B7"/>
    <w:rsid w:val="24CF521F"/>
    <w:rsid w:val="24FC692A"/>
    <w:rsid w:val="25101C69"/>
    <w:rsid w:val="251946ED"/>
    <w:rsid w:val="25433B96"/>
    <w:rsid w:val="256811AE"/>
    <w:rsid w:val="257A6194"/>
    <w:rsid w:val="258712C2"/>
    <w:rsid w:val="25A06465"/>
    <w:rsid w:val="25AB2912"/>
    <w:rsid w:val="25AE752B"/>
    <w:rsid w:val="25B91CBB"/>
    <w:rsid w:val="25BE4022"/>
    <w:rsid w:val="25CA7337"/>
    <w:rsid w:val="25CD79B1"/>
    <w:rsid w:val="25F211C5"/>
    <w:rsid w:val="25F952C0"/>
    <w:rsid w:val="26043707"/>
    <w:rsid w:val="260D1971"/>
    <w:rsid w:val="260D7B7B"/>
    <w:rsid w:val="260E3B25"/>
    <w:rsid w:val="261554D3"/>
    <w:rsid w:val="262A14AD"/>
    <w:rsid w:val="2639743F"/>
    <w:rsid w:val="263A4545"/>
    <w:rsid w:val="264613F8"/>
    <w:rsid w:val="26485F81"/>
    <w:rsid w:val="265D3466"/>
    <w:rsid w:val="26720558"/>
    <w:rsid w:val="268E2F9C"/>
    <w:rsid w:val="26AA7D5A"/>
    <w:rsid w:val="26B75F6B"/>
    <w:rsid w:val="271715C8"/>
    <w:rsid w:val="2762237B"/>
    <w:rsid w:val="27974780"/>
    <w:rsid w:val="279938C3"/>
    <w:rsid w:val="279B763B"/>
    <w:rsid w:val="27AA17A9"/>
    <w:rsid w:val="27BB1438"/>
    <w:rsid w:val="27C72A53"/>
    <w:rsid w:val="27C90592"/>
    <w:rsid w:val="27F136FF"/>
    <w:rsid w:val="27F42B1E"/>
    <w:rsid w:val="280C7D9A"/>
    <w:rsid w:val="281178FD"/>
    <w:rsid w:val="28155BA8"/>
    <w:rsid w:val="28237981"/>
    <w:rsid w:val="28285571"/>
    <w:rsid w:val="28390981"/>
    <w:rsid w:val="285717B4"/>
    <w:rsid w:val="285A22AF"/>
    <w:rsid w:val="28757E8C"/>
    <w:rsid w:val="28887F5F"/>
    <w:rsid w:val="28A16ED3"/>
    <w:rsid w:val="28D82C9B"/>
    <w:rsid w:val="28FE5F4E"/>
    <w:rsid w:val="292A6EC8"/>
    <w:rsid w:val="293E42A1"/>
    <w:rsid w:val="296B03D3"/>
    <w:rsid w:val="29A93351"/>
    <w:rsid w:val="29B93BFD"/>
    <w:rsid w:val="29C8771C"/>
    <w:rsid w:val="29F71705"/>
    <w:rsid w:val="29FC111B"/>
    <w:rsid w:val="2A0239A1"/>
    <w:rsid w:val="2A1C4900"/>
    <w:rsid w:val="2A3A52DB"/>
    <w:rsid w:val="2A5A1A2F"/>
    <w:rsid w:val="2A750BB8"/>
    <w:rsid w:val="2A767786"/>
    <w:rsid w:val="2A8D3899"/>
    <w:rsid w:val="2AC10B16"/>
    <w:rsid w:val="2AC94235"/>
    <w:rsid w:val="2ACD0453"/>
    <w:rsid w:val="2ACE452F"/>
    <w:rsid w:val="2AD0715B"/>
    <w:rsid w:val="2B0100FD"/>
    <w:rsid w:val="2B0611FA"/>
    <w:rsid w:val="2B1716CE"/>
    <w:rsid w:val="2B255DB9"/>
    <w:rsid w:val="2B345679"/>
    <w:rsid w:val="2B7E52A9"/>
    <w:rsid w:val="2BAC5860"/>
    <w:rsid w:val="2BB06EA9"/>
    <w:rsid w:val="2BD04E7B"/>
    <w:rsid w:val="2BDD6474"/>
    <w:rsid w:val="2BF02F4D"/>
    <w:rsid w:val="2C0C0F54"/>
    <w:rsid w:val="2C143E0D"/>
    <w:rsid w:val="2C1C0E1E"/>
    <w:rsid w:val="2C1D2917"/>
    <w:rsid w:val="2C250D85"/>
    <w:rsid w:val="2C464019"/>
    <w:rsid w:val="2C4A09A0"/>
    <w:rsid w:val="2C567FD4"/>
    <w:rsid w:val="2C5A4212"/>
    <w:rsid w:val="2C674B48"/>
    <w:rsid w:val="2C6A3D3D"/>
    <w:rsid w:val="2CC633AC"/>
    <w:rsid w:val="2CD7381C"/>
    <w:rsid w:val="2CD93016"/>
    <w:rsid w:val="2D0B6355"/>
    <w:rsid w:val="2D0C1BBC"/>
    <w:rsid w:val="2D214A86"/>
    <w:rsid w:val="2D410C84"/>
    <w:rsid w:val="2D411747"/>
    <w:rsid w:val="2D4C7DE6"/>
    <w:rsid w:val="2D5269EE"/>
    <w:rsid w:val="2D5C786C"/>
    <w:rsid w:val="2D7828F8"/>
    <w:rsid w:val="2D7F10C8"/>
    <w:rsid w:val="2D8B5DE2"/>
    <w:rsid w:val="2DC53663"/>
    <w:rsid w:val="2DDA090D"/>
    <w:rsid w:val="2DFF42C3"/>
    <w:rsid w:val="2E152B3B"/>
    <w:rsid w:val="2E294A91"/>
    <w:rsid w:val="2E3A548A"/>
    <w:rsid w:val="2E7D577C"/>
    <w:rsid w:val="2E823302"/>
    <w:rsid w:val="2EA84BA8"/>
    <w:rsid w:val="2EB23BE8"/>
    <w:rsid w:val="2EC340E7"/>
    <w:rsid w:val="2EE84604"/>
    <w:rsid w:val="2F0A65DF"/>
    <w:rsid w:val="2F3C1703"/>
    <w:rsid w:val="2F4A1338"/>
    <w:rsid w:val="2F591183"/>
    <w:rsid w:val="2F73601B"/>
    <w:rsid w:val="2F7F2B32"/>
    <w:rsid w:val="2F866DAF"/>
    <w:rsid w:val="2FA21EAE"/>
    <w:rsid w:val="2FB120F1"/>
    <w:rsid w:val="2FBB2F70"/>
    <w:rsid w:val="2FE247EA"/>
    <w:rsid w:val="2FF0366D"/>
    <w:rsid w:val="300264A9"/>
    <w:rsid w:val="301D23A4"/>
    <w:rsid w:val="301F4B17"/>
    <w:rsid w:val="3021115F"/>
    <w:rsid w:val="30234671"/>
    <w:rsid w:val="30297EDA"/>
    <w:rsid w:val="302A1EA4"/>
    <w:rsid w:val="30302262"/>
    <w:rsid w:val="30420F9B"/>
    <w:rsid w:val="304509D7"/>
    <w:rsid w:val="3045283A"/>
    <w:rsid w:val="306946C1"/>
    <w:rsid w:val="30C31167"/>
    <w:rsid w:val="30DD269A"/>
    <w:rsid w:val="30F229C1"/>
    <w:rsid w:val="30F368F8"/>
    <w:rsid w:val="30F96647"/>
    <w:rsid w:val="310E311A"/>
    <w:rsid w:val="31376453"/>
    <w:rsid w:val="314B5142"/>
    <w:rsid w:val="314D0101"/>
    <w:rsid w:val="3150593A"/>
    <w:rsid w:val="315A0D9B"/>
    <w:rsid w:val="318A2BFA"/>
    <w:rsid w:val="31983647"/>
    <w:rsid w:val="31A55C86"/>
    <w:rsid w:val="31BA3E4F"/>
    <w:rsid w:val="31DC3BB4"/>
    <w:rsid w:val="31DC48F9"/>
    <w:rsid w:val="31EF249D"/>
    <w:rsid w:val="31F90D42"/>
    <w:rsid w:val="321B5441"/>
    <w:rsid w:val="324B2A49"/>
    <w:rsid w:val="32695B4C"/>
    <w:rsid w:val="32B27210"/>
    <w:rsid w:val="32B460B3"/>
    <w:rsid w:val="32C54F8F"/>
    <w:rsid w:val="32CE39C8"/>
    <w:rsid w:val="331C5AD4"/>
    <w:rsid w:val="33206D15"/>
    <w:rsid w:val="332E3A59"/>
    <w:rsid w:val="333F5C66"/>
    <w:rsid w:val="334E4E68"/>
    <w:rsid w:val="335056A1"/>
    <w:rsid w:val="3362313B"/>
    <w:rsid w:val="338D3BB2"/>
    <w:rsid w:val="33B0737B"/>
    <w:rsid w:val="33B45D0C"/>
    <w:rsid w:val="33B91574"/>
    <w:rsid w:val="33EB0B49"/>
    <w:rsid w:val="33FE30F0"/>
    <w:rsid w:val="34053854"/>
    <w:rsid w:val="342619BC"/>
    <w:rsid w:val="344F315D"/>
    <w:rsid w:val="345B14C7"/>
    <w:rsid w:val="34910838"/>
    <w:rsid w:val="34AA486D"/>
    <w:rsid w:val="34AA4CE1"/>
    <w:rsid w:val="34B14942"/>
    <w:rsid w:val="34B8182C"/>
    <w:rsid w:val="34BB5077"/>
    <w:rsid w:val="34C21D26"/>
    <w:rsid w:val="34D540A6"/>
    <w:rsid w:val="34E73EBF"/>
    <w:rsid w:val="34E97C37"/>
    <w:rsid w:val="34F053F7"/>
    <w:rsid w:val="35134CB4"/>
    <w:rsid w:val="35141FDC"/>
    <w:rsid w:val="3538101C"/>
    <w:rsid w:val="356419B4"/>
    <w:rsid w:val="356D3564"/>
    <w:rsid w:val="3576095E"/>
    <w:rsid w:val="35930CFF"/>
    <w:rsid w:val="35A61FCC"/>
    <w:rsid w:val="35AE2C2F"/>
    <w:rsid w:val="35B3475E"/>
    <w:rsid w:val="35F049AB"/>
    <w:rsid w:val="361B02C4"/>
    <w:rsid w:val="361B5D55"/>
    <w:rsid w:val="363845D3"/>
    <w:rsid w:val="365B7151"/>
    <w:rsid w:val="366317EF"/>
    <w:rsid w:val="367355D7"/>
    <w:rsid w:val="368470CC"/>
    <w:rsid w:val="36883E31"/>
    <w:rsid w:val="36972627"/>
    <w:rsid w:val="36985DB9"/>
    <w:rsid w:val="36A22794"/>
    <w:rsid w:val="36D36DF1"/>
    <w:rsid w:val="36F275DD"/>
    <w:rsid w:val="37066EE3"/>
    <w:rsid w:val="370D708F"/>
    <w:rsid w:val="372413FB"/>
    <w:rsid w:val="373A2185"/>
    <w:rsid w:val="375718C0"/>
    <w:rsid w:val="37974803"/>
    <w:rsid w:val="37CA7F80"/>
    <w:rsid w:val="37F2560D"/>
    <w:rsid w:val="382A2A41"/>
    <w:rsid w:val="382F28C6"/>
    <w:rsid w:val="384119C7"/>
    <w:rsid w:val="3842422E"/>
    <w:rsid w:val="384E1CC5"/>
    <w:rsid w:val="384F24A7"/>
    <w:rsid w:val="385D047D"/>
    <w:rsid w:val="385D5492"/>
    <w:rsid w:val="3862667F"/>
    <w:rsid w:val="386B4E07"/>
    <w:rsid w:val="387A6840"/>
    <w:rsid w:val="38A531F5"/>
    <w:rsid w:val="38D1110E"/>
    <w:rsid w:val="391159AF"/>
    <w:rsid w:val="39234B8E"/>
    <w:rsid w:val="39265FFA"/>
    <w:rsid w:val="39276F80"/>
    <w:rsid w:val="392B0F54"/>
    <w:rsid w:val="394144E6"/>
    <w:rsid w:val="39417DE7"/>
    <w:rsid w:val="39482AC7"/>
    <w:rsid w:val="394F6927"/>
    <w:rsid w:val="397F500E"/>
    <w:rsid w:val="39820717"/>
    <w:rsid w:val="3999764C"/>
    <w:rsid w:val="399B1E64"/>
    <w:rsid w:val="39AC44BC"/>
    <w:rsid w:val="39CE38A0"/>
    <w:rsid w:val="39E6508D"/>
    <w:rsid w:val="3A0B0650"/>
    <w:rsid w:val="3A116A9A"/>
    <w:rsid w:val="3A125E82"/>
    <w:rsid w:val="3A173499"/>
    <w:rsid w:val="3A23599A"/>
    <w:rsid w:val="3A2936EF"/>
    <w:rsid w:val="3A4E6AE9"/>
    <w:rsid w:val="3A620F54"/>
    <w:rsid w:val="3AAC3870"/>
    <w:rsid w:val="3AB72586"/>
    <w:rsid w:val="3AC7508A"/>
    <w:rsid w:val="3AD41A9E"/>
    <w:rsid w:val="3ADD0153"/>
    <w:rsid w:val="3AED7D56"/>
    <w:rsid w:val="3B0A2993"/>
    <w:rsid w:val="3B0D3001"/>
    <w:rsid w:val="3B16099A"/>
    <w:rsid w:val="3B182771"/>
    <w:rsid w:val="3B1B0D67"/>
    <w:rsid w:val="3B2C0E0B"/>
    <w:rsid w:val="3B34588F"/>
    <w:rsid w:val="3B36172B"/>
    <w:rsid w:val="3B3B31B7"/>
    <w:rsid w:val="3B3B7555"/>
    <w:rsid w:val="3B3F35B7"/>
    <w:rsid w:val="3B5D137F"/>
    <w:rsid w:val="3B902E10"/>
    <w:rsid w:val="3BD27F63"/>
    <w:rsid w:val="3BE02ECB"/>
    <w:rsid w:val="3C153A08"/>
    <w:rsid w:val="3C382634"/>
    <w:rsid w:val="3C575DCE"/>
    <w:rsid w:val="3C5A175E"/>
    <w:rsid w:val="3C5D1FDE"/>
    <w:rsid w:val="3C923451"/>
    <w:rsid w:val="3C94492D"/>
    <w:rsid w:val="3CFB49AC"/>
    <w:rsid w:val="3D031AB2"/>
    <w:rsid w:val="3D2C2DB7"/>
    <w:rsid w:val="3D392A64"/>
    <w:rsid w:val="3D510A70"/>
    <w:rsid w:val="3D700AE4"/>
    <w:rsid w:val="3D7C48B3"/>
    <w:rsid w:val="3D7F53A3"/>
    <w:rsid w:val="3D92565F"/>
    <w:rsid w:val="3DA167F8"/>
    <w:rsid w:val="3DAE1A1E"/>
    <w:rsid w:val="3DDE1032"/>
    <w:rsid w:val="3DE713D4"/>
    <w:rsid w:val="3DF94128"/>
    <w:rsid w:val="3E0105F0"/>
    <w:rsid w:val="3E2C4A1C"/>
    <w:rsid w:val="3E3534C1"/>
    <w:rsid w:val="3E3D06A0"/>
    <w:rsid w:val="3E5720B6"/>
    <w:rsid w:val="3E5A13DF"/>
    <w:rsid w:val="3E5B7667"/>
    <w:rsid w:val="3E6E08A9"/>
    <w:rsid w:val="3EA13331"/>
    <w:rsid w:val="3EA42E21"/>
    <w:rsid w:val="3EAE3D33"/>
    <w:rsid w:val="3EB0270D"/>
    <w:rsid w:val="3EB038B9"/>
    <w:rsid w:val="3EC11C25"/>
    <w:rsid w:val="3EED47C8"/>
    <w:rsid w:val="3EEF0540"/>
    <w:rsid w:val="3EF1250A"/>
    <w:rsid w:val="3F045DF4"/>
    <w:rsid w:val="3F081602"/>
    <w:rsid w:val="3F18735D"/>
    <w:rsid w:val="3F220A04"/>
    <w:rsid w:val="3F290D82"/>
    <w:rsid w:val="3F2A04F5"/>
    <w:rsid w:val="3F53376F"/>
    <w:rsid w:val="3F5E56C6"/>
    <w:rsid w:val="3F650B14"/>
    <w:rsid w:val="3F815548"/>
    <w:rsid w:val="3F8A2017"/>
    <w:rsid w:val="3F8B72DF"/>
    <w:rsid w:val="3FA27361"/>
    <w:rsid w:val="3FB452E6"/>
    <w:rsid w:val="3FE536F1"/>
    <w:rsid w:val="40012E66"/>
    <w:rsid w:val="4041301D"/>
    <w:rsid w:val="404A538E"/>
    <w:rsid w:val="406B6F12"/>
    <w:rsid w:val="406D4A4F"/>
    <w:rsid w:val="40712EDE"/>
    <w:rsid w:val="40885F49"/>
    <w:rsid w:val="408E3D89"/>
    <w:rsid w:val="409750B3"/>
    <w:rsid w:val="40A61BFD"/>
    <w:rsid w:val="40AE52C3"/>
    <w:rsid w:val="41214BFD"/>
    <w:rsid w:val="41337746"/>
    <w:rsid w:val="415B3C6B"/>
    <w:rsid w:val="417B0851"/>
    <w:rsid w:val="41856F3A"/>
    <w:rsid w:val="41913B31"/>
    <w:rsid w:val="41A27AEC"/>
    <w:rsid w:val="41A73E36"/>
    <w:rsid w:val="41B44172"/>
    <w:rsid w:val="41B837A9"/>
    <w:rsid w:val="41D50C68"/>
    <w:rsid w:val="41DA5ED0"/>
    <w:rsid w:val="41DB2086"/>
    <w:rsid w:val="41DF581D"/>
    <w:rsid w:val="41EE30DF"/>
    <w:rsid w:val="420930B3"/>
    <w:rsid w:val="42130880"/>
    <w:rsid w:val="42241EF3"/>
    <w:rsid w:val="42417305"/>
    <w:rsid w:val="42482511"/>
    <w:rsid w:val="424A49E1"/>
    <w:rsid w:val="42730A6A"/>
    <w:rsid w:val="42876CE2"/>
    <w:rsid w:val="42AC37EF"/>
    <w:rsid w:val="42BB5952"/>
    <w:rsid w:val="42C02EB8"/>
    <w:rsid w:val="42C35F6C"/>
    <w:rsid w:val="42E14CF7"/>
    <w:rsid w:val="42E85A6D"/>
    <w:rsid w:val="42F56341"/>
    <w:rsid w:val="43014CE6"/>
    <w:rsid w:val="4303280C"/>
    <w:rsid w:val="430D110E"/>
    <w:rsid w:val="43156B58"/>
    <w:rsid w:val="43276AA9"/>
    <w:rsid w:val="43356E10"/>
    <w:rsid w:val="43395292"/>
    <w:rsid w:val="434D3A87"/>
    <w:rsid w:val="43560B8E"/>
    <w:rsid w:val="435C1F1C"/>
    <w:rsid w:val="437233A4"/>
    <w:rsid w:val="43811A9E"/>
    <w:rsid w:val="439E5770"/>
    <w:rsid w:val="43B15675"/>
    <w:rsid w:val="43B7664C"/>
    <w:rsid w:val="43B9620E"/>
    <w:rsid w:val="43D83C99"/>
    <w:rsid w:val="43EA27CD"/>
    <w:rsid w:val="44082311"/>
    <w:rsid w:val="44136119"/>
    <w:rsid w:val="442C0CAE"/>
    <w:rsid w:val="443775B0"/>
    <w:rsid w:val="448B0D0B"/>
    <w:rsid w:val="44A3316C"/>
    <w:rsid w:val="44BF2CE3"/>
    <w:rsid w:val="44CD1324"/>
    <w:rsid w:val="44CD46C2"/>
    <w:rsid w:val="44ED3CA5"/>
    <w:rsid w:val="44EF24B6"/>
    <w:rsid w:val="450C4469"/>
    <w:rsid w:val="450C5084"/>
    <w:rsid w:val="453727C7"/>
    <w:rsid w:val="457857CD"/>
    <w:rsid w:val="457F1EF2"/>
    <w:rsid w:val="4585006A"/>
    <w:rsid w:val="45A14896"/>
    <w:rsid w:val="45BD5756"/>
    <w:rsid w:val="45C1250B"/>
    <w:rsid w:val="45E567AE"/>
    <w:rsid w:val="45EF3078"/>
    <w:rsid w:val="45F94DF8"/>
    <w:rsid w:val="45FD5429"/>
    <w:rsid w:val="460C6553"/>
    <w:rsid w:val="462A4554"/>
    <w:rsid w:val="463963EE"/>
    <w:rsid w:val="46477A59"/>
    <w:rsid w:val="46577718"/>
    <w:rsid w:val="46673D7F"/>
    <w:rsid w:val="466F41A5"/>
    <w:rsid w:val="46703488"/>
    <w:rsid w:val="46785DBB"/>
    <w:rsid w:val="467A583B"/>
    <w:rsid w:val="46CE1383"/>
    <w:rsid w:val="473C7C2E"/>
    <w:rsid w:val="474A36D3"/>
    <w:rsid w:val="47504375"/>
    <w:rsid w:val="475A087D"/>
    <w:rsid w:val="476E1150"/>
    <w:rsid w:val="478837B7"/>
    <w:rsid w:val="47A1250B"/>
    <w:rsid w:val="47B440D5"/>
    <w:rsid w:val="47B453C2"/>
    <w:rsid w:val="47C63493"/>
    <w:rsid w:val="47C85F30"/>
    <w:rsid w:val="47D810E9"/>
    <w:rsid w:val="47D91395"/>
    <w:rsid w:val="47F170D7"/>
    <w:rsid w:val="4801210A"/>
    <w:rsid w:val="48022846"/>
    <w:rsid w:val="4816082E"/>
    <w:rsid w:val="48284ADF"/>
    <w:rsid w:val="48313978"/>
    <w:rsid w:val="48345216"/>
    <w:rsid w:val="487675DC"/>
    <w:rsid w:val="4890058F"/>
    <w:rsid w:val="48AD0AEC"/>
    <w:rsid w:val="48CE11C6"/>
    <w:rsid w:val="48D3467A"/>
    <w:rsid w:val="4919778E"/>
    <w:rsid w:val="492C3F14"/>
    <w:rsid w:val="49425710"/>
    <w:rsid w:val="494E0559"/>
    <w:rsid w:val="4951043A"/>
    <w:rsid w:val="49603530"/>
    <w:rsid w:val="4968786D"/>
    <w:rsid w:val="496E548B"/>
    <w:rsid w:val="49777AB0"/>
    <w:rsid w:val="49841025"/>
    <w:rsid w:val="49B75708"/>
    <w:rsid w:val="49BE5F85"/>
    <w:rsid w:val="49D00F6E"/>
    <w:rsid w:val="49D337A0"/>
    <w:rsid w:val="49F5477F"/>
    <w:rsid w:val="4A264ABA"/>
    <w:rsid w:val="4A2A68D0"/>
    <w:rsid w:val="4A3E05CE"/>
    <w:rsid w:val="4A3E68EF"/>
    <w:rsid w:val="4A45281C"/>
    <w:rsid w:val="4A5A50C5"/>
    <w:rsid w:val="4A6E2C61"/>
    <w:rsid w:val="4A873D23"/>
    <w:rsid w:val="4A944649"/>
    <w:rsid w:val="4A9D518C"/>
    <w:rsid w:val="4AC22FAD"/>
    <w:rsid w:val="4ACB7A04"/>
    <w:rsid w:val="4B0C37B2"/>
    <w:rsid w:val="4B192410"/>
    <w:rsid w:val="4B417D35"/>
    <w:rsid w:val="4B663938"/>
    <w:rsid w:val="4B6A36BB"/>
    <w:rsid w:val="4B7254A5"/>
    <w:rsid w:val="4B727DFD"/>
    <w:rsid w:val="4B7D226C"/>
    <w:rsid w:val="4B813CEC"/>
    <w:rsid w:val="4B923F4B"/>
    <w:rsid w:val="4BA203AF"/>
    <w:rsid w:val="4BA42155"/>
    <w:rsid w:val="4BC0415E"/>
    <w:rsid w:val="4C0979BC"/>
    <w:rsid w:val="4C211F55"/>
    <w:rsid w:val="4C5824A2"/>
    <w:rsid w:val="4C6B67F6"/>
    <w:rsid w:val="4C72630D"/>
    <w:rsid w:val="4C7A7489"/>
    <w:rsid w:val="4C87000A"/>
    <w:rsid w:val="4C912C37"/>
    <w:rsid w:val="4CD45776"/>
    <w:rsid w:val="4CEC60BF"/>
    <w:rsid w:val="4CF80F08"/>
    <w:rsid w:val="4D0C49B3"/>
    <w:rsid w:val="4D21521F"/>
    <w:rsid w:val="4D3F46F6"/>
    <w:rsid w:val="4D5B6845"/>
    <w:rsid w:val="4D8B3B2A"/>
    <w:rsid w:val="4DA116B0"/>
    <w:rsid w:val="4DA92202"/>
    <w:rsid w:val="4DA93FB0"/>
    <w:rsid w:val="4DC66910"/>
    <w:rsid w:val="4DCF1D43"/>
    <w:rsid w:val="4DD80905"/>
    <w:rsid w:val="4DE01AC7"/>
    <w:rsid w:val="4DE66708"/>
    <w:rsid w:val="4DFF3218"/>
    <w:rsid w:val="4E0B07C7"/>
    <w:rsid w:val="4E1208CF"/>
    <w:rsid w:val="4E200716"/>
    <w:rsid w:val="4E2B2C17"/>
    <w:rsid w:val="4E3E77C3"/>
    <w:rsid w:val="4E4250C5"/>
    <w:rsid w:val="4E485577"/>
    <w:rsid w:val="4E4C150B"/>
    <w:rsid w:val="4E696171"/>
    <w:rsid w:val="4E84687F"/>
    <w:rsid w:val="4E895320"/>
    <w:rsid w:val="4E9862F9"/>
    <w:rsid w:val="4EAF55F6"/>
    <w:rsid w:val="4EB74B44"/>
    <w:rsid w:val="4EBD343A"/>
    <w:rsid w:val="4EC310A1"/>
    <w:rsid w:val="4ED01880"/>
    <w:rsid w:val="4EEE65B6"/>
    <w:rsid w:val="4EF240FE"/>
    <w:rsid w:val="4F017C92"/>
    <w:rsid w:val="4F117740"/>
    <w:rsid w:val="4F275AD4"/>
    <w:rsid w:val="4F3A7D0F"/>
    <w:rsid w:val="4F4E3061"/>
    <w:rsid w:val="4FAA7B32"/>
    <w:rsid w:val="4FB21289"/>
    <w:rsid w:val="4FB66C70"/>
    <w:rsid w:val="4FD03DEC"/>
    <w:rsid w:val="4FE31E02"/>
    <w:rsid w:val="4FF96E82"/>
    <w:rsid w:val="501A69F5"/>
    <w:rsid w:val="501C491F"/>
    <w:rsid w:val="502D54A8"/>
    <w:rsid w:val="502F3829"/>
    <w:rsid w:val="50560919"/>
    <w:rsid w:val="50584A77"/>
    <w:rsid w:val="508605D9"/>
    <w:rsid w:val="50985E92"/>
    <w:rsid w:val="509E54C1"/>
    <w:rsid w:val="50A20E6E"/>
    <w:rsid w:val="50C221A5"/>
    <w:rsid w:val="50D73D36"/>
    <w:rsid w:val="50FA2921"/>
    <w:rsid w:val="51340A56"/>
    <w:rsid w:val="513B13C3"/>
    <w:rsid w:val="51432318"/>
    <w:rsid w:val="514F30C0"/>
    <w:rsid w:val="518F170F"/>
    <w:rsid w:val="51956D25"/>
    <w:rsid w:val="51A954C8"/>
    <w:rsid w:val="51B44DED"/>
    <w:rsid w:val="51B51175"/>
    <w:rsid w:val="51BF0246"/>
    <w:rsid w:val="51C81802"/>
    <w:rsid w:val="51D04241"/>
    <w:rsid w:val="51EE6435"/>
    <w:rsid w:val="5204787D"/>
    <w:rsid w:val="52171E30"/>
    <w:rsid w:val="523A2CB3"/>
    <w:rsid w:val="523C2ACB"/>
    <w:rsid w:val="52412A09"/>
    <w:rsid w:val="52635075"/>
    <w:rsid w:val="526D1A50"/>
    <w:rsid w:val="52767818"/>
    <w:rsid w:val="52877104"/>
    <w:rsid w:val="52B277F0"/>
    <w:rsid w:val="52C52A54"/>
    <w:rsid w:val="52D44BAF"/>
    <w:rsid w:val="530C1269"/>
    <w:rsid w:val="531225F7"/>
    <w:rsid w:val="531D5B1B"/>
    <w:rsid w:val="53253D31"/>
    <w:rsid w:val="532826E0"/>
    <w:rsid w:val="53394028"/>
    <w:rsid w:val="5360146E"/>
    <w:rsid w:val="5371731E"/>
    <w:rsid w:val="5376493C"/>
    <w:rsid w:val="537A08C9"/>
    <w:rsid w:val="538A5B0B"/>
    <w:rsid w:val="53977B2B"/>
    <w:rsid w:val="53990F00"/>
    <w:rsid w:val="539B5D2F"/>
    <w:rsid w:val="539E7B5D"/>
    <w:rsid w:val="53A653A7"/>
    <w:rsid w:val="53A96AB8"/>
    <w:rsid w:val="53B77267"/>
    <w:rsid w:val="53B95C26"/>
    <w:rsid w:val="53BD6A07"/>
    <w:rsid w:val="53F13439"/>
    <w:rsid w:val="54102FDB"/>
    <w:rsid w:val="54476BB5"/>
    <w:rsid w:val="545E3D46"/>
    <w:rsid w:val="54895201"/>
    <w:rsid w:val="549047C3"/>
    <w:rsid w:val="549A28A4"/>
    <w:rsid w:val="54A31F73"/>
    <w:rsid w:val="54A40077"/>
    <w:rsid w:val="54AE4E65"/>
    <w:rsid w:val="54B020C8"/>
    <w:rsid w:val="54C04F5B"/>
    <w:rsid w:val="54D933CD"/>
    <w:rsid w:val="554835B8"/>
    <w:rsid w:val="554F7195"/>
    <w:rsid w:val="55560EC1"/>
    <w:rsid w:val="55722F72"/>
    <w:rsid w:val="55915D03"/>
    <w:rsid w:val="55A0213D"/>
    <w:rsid w:val="55BB0D24"/>
    <w:rsid w:val="55C66E05"/>
    <w:rsid w:val="55DB4F23"/>
    <w:rsid w:val="55EA6D88"/>
    <w:rsid w:val="55EB160A"/>
    <w:rsid w:val="55F00D29"/>
    <w:rsid w:val="560915EB"/>
    <w:rsid w:val="5628013A"/>
    <w:rsid w:val="5640783B"/>
    <w:rsid w:val="56491748"/>
    <w:rsid w:val="56813D1C"/>
    <w:rsid w:val="568A343A"/>
    <w:rsid w:val="56A313D3"/>
    <w:rsid w:val="57037963"/>
    <w:rsid w:val="57307C8C"/>
    <w:rsid w:val="57517D0A"/>
    <w:rsid w:val="5753449D"/>
    <w:rsid w:val="57541431"/>
    <w:rsid w:val="57574382"/>
    <w:rsid w:val="57617155"/>
    <w:rsid w:val="576A2A02"/>
    <w:rsid w:val="57807B00"/>
    <w:rsid w:val="57A75A04"/>
    <w:rsid w:val="57AA72A2"/>
    <w:rsid w:val="57B343A9"/>
    <w:rsid w:val="57CE1F7C"/>
    <w:rsid w:val="57CF7D66"/>
    <w:rsid w:val="57D11BDE"/>
    <w:rsid w:val="57D60B74"/>
    <w:rsid w:val="57EA64DD"/>
    <w:rsid w:val="57F56770"/>
    <w:rsid w:val="580418A4"/>
    <w:rsid w:val="581B1F4E"/>
    <w:rsid w:val="58313520"/>
    <w:rsid w:val="58355FAD"/>
    <w:rsid w:val="58381A4A"/>
    <w:rsid w:val="58523BC2"/>
    <w:rsid w:val="58627CD5"/>
    <w:rsid w:val="58716105"/>
    <w:rsid w:val="588A11C9"/>
    <w:rsid w:val="58A452DE"/>
    <w:rsid w:val="58B24661"/>
    <w:rsid w:val="58BA77C9"/>
    <w:rsid w:val="58D01413"/>
    <w:rsid w:val="58D2260D"/>
    <w:rsid w:val="58D44745"/>
    <w:rsid w:val="58E339E2"/>
    <w:rsid w:val="593E7667"/>
    <w:rsid w:val="594827D5"/>
    <w:rsid w:val="597A5223"/>
    <w:rsid w:val="599267F2"/>
    <w:rsid w:val="59A321FB"/>
    <w:rsid w:val="59C83F45"/>
    <w:rsid w:val="59C97EB4"/>
    <w:rsid w:val="59DD74BB"/>
    <w:rsid w:val="59ED5291"/>
    <w:rsid w:val="59F760A3"/>
    <w:rsid w:val="59FB2688"/>
    <w:rsid w:val="59FF6B39"/>
    <w:rsid w:val="5A0C308B"/>
    <w:rsid w:val="5A386DE8"/>
    <w:rsid w:val="5A511712"/>
    <w:rsid w:val="5A555015"/>
    <w:rsid w:val="5A5C0D28"/>
    <w:rsid w:val="5A690D4F"/>
    <w:rsid w:val="5A751DEA"/>
    <w:rsid w:val="5AC05DA1"/>
    <w:rsid w:val="5ADC59B4"/>
    <w:rsid w:val="5B056850"/>
    <w:rsid w:val="5B2C4CA8"/>
    <w:rsid w:val="5B685D8C"/>
    <w:rsid w:val="5B6E1487"/>
    <w:rsid w:val="5B714859"/>
    <w:rsid w:val="5B767BC7"/>
    <w:rsid w:val="5B7934F9"/>
    <w:rsid w:val="5B955B74"/>
    <w:rsid w:val="5BE00045"/>
    <w:rsid w:val="5BF35F38"/>
    <w:rsid w:val="5C1245E5"/>
    <w:rsid w:val="5C2C297C"/>
    <w:rsid w:val="5C49708A"/>
    <w:rsid w:val="5C4E587B"/>
    <w:rsid w:val="5C6820BB"/>
    <w:rsid w:val="5C73718D"/>
    <w:rsid w:val="5C951968"/>
    <w:rsid w:val="5CA249EC"/>
    <w:rsid w:val="5CA32CDB"/>
    <w:rsid w:val="5CB517AB"/>
    <w:rsid w:val="5CB6590F"/>
    <w:rsid w:val="5CD33C0A"/>
    <w:rsid w:val="5CDF7602"/>
    <w:rsid w:val="5CF1327E"/>
    <w:rsid w:val="5CFA0332"/>
    <w:rsid w:val="5D020920"/>
    <w:rsid w:val="5D0A2FA7"/>
    <w:rsid w:val="5D3620A9"/>
    <w:rsid w:val="5D4805A3"/>
    <w:rsid w:val="5D5850AB"/>
    <w:rsid w:val="5D64602A"/>
    <w:rsid w:val="5D685C4A"/>
    <w:rsid w:val="5D6F2B20"/>
    <w:rsid w:val="5D83481E"/>
    <w:rsid w:val="5D8939A4"/>
    <w:rsid w:val="5D975D07"/>
    <w:rsid w:val="5DA731B2"/>
    <w:rsid w:val="5DB14C67"/>
    <w:rsid w:val="5DE828D3"/>
    <w:rsid w:val="5E0A57A5"/>
    <w:rsid w:val="5E171282"/>
    <w:rsid w:val="5E1E00A2"/>
    <w:rsid w:val="5E1E5EED"/>
    <w:rsid w:val="5E2F22B0"/>
    <w:rsid w:val="5E624433"/>
    <w:rsid w:val="5E79352B"/>
    <w:rsid w:val="5E9640DD"/>
    <w:rsid w:val="5E9A3942"/>
    <w:rsid w:val="5E9C1AA1"/>
    <w:rsid w:val="5EAD15B4"/>
    <w:rsid w:val="5EC24D45"/>
    <w:rsid w:val="5EC62C14"/>
    <w:rsid w:val="5ED65123"/>
    <w:rsid w:val="5EF820E1"/>
    <w:rsid w:val="5F071B3A"/>
    <w:rsid w:val="5F0B0627"/>
    <w:rsid w:val="5F0D0843"/>
    <w:rsid w:val="5F1C25B1"/>
    <w:rsid w:val="5F27742B"/>
    <w:rsid w:val="5F301935"/>
    <w:rsid w:val="5F4066C7"/>
    <w:rsid w:val="5F6661A5"/>
    <w:rsid w:val="5F8454EE"/>
    <w:rsid w:val="5F93061C"/>
    <w:rsid w:val="5FAD7930"/>
    <w:rsid w:val="5FB52A1D"/>
    <w:rsid w:val="5FCE6371"/>
    <w:rsid w:val="5FD05377"/>
    <w:rsid w:val="5FEA34C1"/>
    <w:rsid w:val="5FEE5D95"/>
    <w:rsid w:val="600B0C75"/>
    <w:rsid w:val="601C6864"/>
    <w:rsid w:val="602342BE"/>
    <w:rsid w:val="60416745"/>
    <w:rsid w:val="60433DF0"/>
    <w:rsid w:val="60783A27"/>
    <w:rsid w:val="60787F3E"/>
    <w:rsid w:val="60A30D33"/>
    <w:rsid w:val="60B0780A"/>
    <w:rsid w:val="60B67442"/>
    <w:rsid w:val="60B94B89"/>
    <w:rsid w:val="60F22AB3"/>
    <w:rsid w:val="611213AC"/>
    <w:rsid w:val="6112170E"/>
    <w:rsid w:val="611B5D10"/>
    <w:rsid w:val="611D4629"/>
    <w:rsid w:val="611E30B6"/>
    <w:rsid w:val="61337193"/>
    <w:rsid w:val="6138147B"/>
    <w:rsid w:val="613A51F3"/>
    <w:rsid w:val="613B0F6B"/>
    <w:rsid w:val="613D2F35"/>
    <w:rsid w:val="613F280A"/>
    <w:rsid w:val="615518BC"/>
    <w:rsid w:val="616341BA"/>
    <w:rsid w:val="616A5248"/>
    <w:rsid w:val="616B7AA3"/>
    <w:rsid w:val="617310B0"/>
    <w:rsid w:val="618662C7"/>
    <w:rsid w:val="618B0739"/>
    <w:rsid w:val="618E3E2E"/>
    <w:rsid w:val="61A6612B"/>
    <w:rsid w:val="61B005A8"/>
    <w:rsid w:val="61C471B3"/>
    <w:rsid w:val="61D57417"/>
    <w:rsid w:val="61D71AE3"/>
    <w:rsid w:val="61DE1A06"/>
    <w:rsid w:val="61DE708B"/>
    <w:rsid w:val="62134FE3"/>
    <w:rsid w:val="622C3C1B"/>
    <w:rsid w:val="623944F7"/>
    <w:rsid w:val="62536D19"/>
    <w:rsid w:val="625426FD"/>
    <w:rsid w:val="62614A02"/>
    <w:rsid w:val="626E61C2"/>
    <w:rsid w:val="627806C9"/>
    <w:rsid w:val="62891CB7"/>
    <w:rsid w:val="628F77C1"/>
    <w:rsid w:val="6292105F"/>
    <w:rsid w:val="62B82C3F"/>
    <w:rsid w:val="62DE2F31"/>
    <w:rsid w:val="63036580"/>
    <w:rsid w:val="634B193A"/>
    <w:rsid w:val="634E0821"/>
    <w:rsid w:val="63601286"/>
    <w:rsid w:val="6368000E"/>
    <w:rsid w:val="637F5A87"/>
    <w:rsid w:val="639F1C85"/>
    <w:rsid w:val="63B02634"/>
    <w:rsid w:val="63C00691"/>
    <w:rsid w:val="63C94F54"/>
    <w:rsid w:val="63DF2082"/>
    <w:rsid w:val="63E055AD"/>
    <w:rsid w:val="64313738"/>
    <w:rsid w:val="64464255"/>
    <w:rsid w:val="64503B32"/>
    <w:rsid w:val="64603F9B"/>
    <w:rsid w:val="647C3D75"/>
    <w:rsid w:val="64AB3BD8"/>
    <w:rsid w:val="64B87200"/>
    <w:rsid w:val="64BA284F"/>
    <w:rsid w:val="64CA4AE0"/>
    <w:rsid w:val="6504269F"/>
    <w:rsid w:val="65156747"/>
    <w:rsid w:val="652D3C3E"/>
    <w:rsid w:val="65313307"/>
    <w:rsid w:val="655B398A"/>
    <w:rsid w:val="655D3BA6"/>
    <w:rsid w:val="65766C23"/>
    <w:rsid w:val="65880BB3"/>
    <w:rsid w:val="659913D0"/>
    <w:rsid w:val="659B647C"/>
    <w:rsid w:val="65AF7B55"/>
    <w:rsid w:val="65B9585C"/>
    <w:rsid w:val="65BE6761"/>
    <w:rsid w:val="65C2321D"/>
    <w:rsid w:val="65C70D79"/>
    <w:rsid w:val="65CB5C95"/>
    <w:rsid w:val="66061B48"/>
    <w:rsid w:val="660B53B0"/>
    <w:rsid w:val="66102F00"/>
    <w:rsid w:val="6623094C"/>
    <w:rsid w:val="66684A6A"/>
    <w:rsid w:val="666C6C3D"/>
    <w:rsid w:val="66815672"/>
    <w:rsid w:val="6699431A"/>
    <w:rsid w:val="66AF141C"/>
    <w:rsid w:val="66CB4B3F"/>
    <w:rsid w:val="66E0683D"/>
    <w:rsid w:val="67206C39"/>
    <w:rsid w:val="673E3563"/>
    <w:rsid w:val="67713939"/>
    <w:rsid w:val="678216A2"/>
    <w:rsid w:val="6787315C"/>
    <w:rsid w:val="679A0E62"/>
    <w:rsid w:val="67AC780B"/>
    <w:rsid w:val="67AE693B"/>
    <w:rsid w:val="67B4098F"/>
    <w:rsid w:val="67C27CF0"/>
    <w:rsid w:val="67C95523"/>
    <w:rsid w:val="67F731BD"/>
    <w:rsid w:val="680E666E"/>
    <w:rsid w:val="681B738C"/>
    <w:rsid w:val="68550B65"/>
    <w:rsid w:val="68573DCC"/>
    <w:rsid w:val="685C1D36"/>
    <w:rsid w:val="68833924"/>
    <w:rsid w:val="688B27D8"/>
    <w:rsid w:val="688B2E2D"/>
    <w:rsid w:val="68A06212"/>
    <w:rsid w:val="68B571FF"/>
    <w:rsid w:val="68B94F26"/>
    <w:rsid w:val="68CB6A50"/>
    <w:rsid w:val="68D03D5F"/>
    <w:rsid w:val="68D8128A"/>
    <w:rsid w:val="68FC0B67"/>
    <w:rsid w:val="69083E29"/>
    <w:rsid w:val="69270753"/>
    <w:rsid w:val="69472BFF"/>
    <w:rsid w:val="6951757E"/>
    <w:rsid w:val="69655417"/>
    <w:rsid w:val="696A4AE4"/>
    <w:rsid w:val="698E432E"/>
    <w:rsid w:val="69967687"/>
    <w:rsid w:val="69A2427D"/>
    <w:rsid w:val="69C07FE7"/>
    <w:rsid w:val="69CE5809"/>
    <w:rsid w:val="69D0107E"/>
    <w:rsid w:val="69D02B99"/>
    <w:rsid w:val="69E000E1"/>
    <w:rsid w:val="6A252A0D"/>
    <w:rsid w:val="6A287014"/>
    <w:rsid w:val="6A5007A3"/>
    <w:rsid w:val="6A52034B"/>
    <w:rsid w:val="6A645F3F"/>
    <w:rsid w:val="6A945687"/>
    <w:rsid w:val="6ABA0C36"/>
    <w:rsid w:val="6AC23736"/>
    <w:rsid w:val="6AC326FD"/>
    <w:rsid w:val="6AC854ED"/>
    <w:rsid w:val="6AD41555"/>
    <w:rsid w:val="6B287DEC"/>
    <w:rsid w:val="6B295AA1"/>
    <w:rsid w:val="6B2E6DA4"/>
    <w:rsid w:val="6B43460A"/>
    <w:rsid w:val="6B6537B4"/>
    <w:rsid w:val="6B730E18"/>
    <w:rsid w:val="6B8E65D4"/>
    <w:rsid w:val="6B9156FC"/>
    <w:rsid w:val="6B925F95"/>
    <w:rsid w:val="6BA50B91"/>
    <w:rsid w:val="6BAC4F3F"/>
    <w:rsid w:val="6BB328BE"/>
    <w:rsid w:val="6BD76EB5"/>
    <w:rsid w:val="6BF3491C"/>
    <w:rsid w:val="6BF568E6"/>
    <w:rsid w:val="6C065ED4"/>
    <w:rsid w:val="6C116157"/>
    <w:rsid w:val="6C1D5E3D"/>
    <w:rsid w:val="6C34579E"/>
    <w:rsid w:val="6C580C23"/>
    <w:rsid w:val="6C5C0714"/>
    <w:rsid w:val="6C5C5F78"/>
    <w:rsid w:val="6C83195A"/>
    <w:rsid w:val="6C864C43"/>
    <w:rsid w:val="6C9316AC"/>
    <w:rsid w:val="6CA36342"/>
    <w:rsid w:val="6CC22541"/>
    <w:rsid w:val="6CEF21EC"/>
    <w:rsid w:val="6D322A6E"/>
    <w:rsid w:val="6D416038"/>
    <w:rsid w:val="6D470EAA"/>
    <w:rsid w:val="6D6B38D7"/>
    <w:rsid w:val="6D885E74"/>
    <w:rsid w:val="6D9A49AF"/>
    <w:rsid w:val="6DBD2988"/>
    <w:rsid w:val="6DD07106"/>
    <w:rsid w:val="6DD6771C"/>
    <w:rsid w:val="6DDF650D"/>
    <w:rsid w:val="6DE44E65"/>
    <w:rsid w:val="6DE70C60"/>
    <w:rsid w:val="6DFF52C9"/>
    <w:rsid w:val="6E043D6B"/>
    <w:rsid w:val="6E0666F6"/>
    <w:rsid w:val="6E0F7A08"/>
    <w:rsid w:val="6E201124"/>
    <w:rsid w:val="6E337B9A"/>
    <w:rsid w:val="6E647D53"/>
    <w:rsid w:val="6E6B0E34"/>
    <w:rsid w:val="6E6D39EE"/>
    <w:rsid w:val="6E917782"/>
    <w:rsid w:val="6E995430"/>
    <w:rsid w:val="6EB666E3"/>
    <w:rsid w:val="6EBF4F8A"/>
    <w:rsid w:val="6EDA30B5"/>
    <w:rsid w:val="6EF966EE"/>
    <w:rsid w:val="6F0735FC"/>
    <w:rsid w:val="6F094E48"/>
    <w:rsid w:val="6F22323E"/>
    <w:rsid w:val="6F457B85"/>
    <w:rsid w:val="6F527CB0"/>
    <w:rsid w:val="6F585ED9"/>
    <w:rsid w:val="6F732B8F"/>
    <w:rsid w:val="6F79103C"/>
    <w:rsid w:val="6F7B35A7"/>
    <w:rsid w:val="6F9706C1"/>
    <w:rsid w:val="6FA51B3B"/>
    <w:rsid w:val="6FCB2538"/>
    <w:rsid w:val="6FE21028"/>
    <w:rsid w:val="700A66D9"/>
    <w:rsid w:val="700E47B4"/>
    <w:rsid w:val="70187047"/>
    <w:rsid w:val="701C37DC"/>
    <w:rsid w:val="702754DC"/>
    <w:rsid w:val="702F00AE"/>
    <w:rsid w:val="70311EB7"/>
    <w:rsid w:val="703419A7"/>
    <w:rsid w:val="7044607A"/>
    <w:rsid w:val="707D6EAA"/>
    <w:rsid w:val="70A64653"/>
    <w:rsid w:val="70C777FB"/>
    <w:rsid w:val="70F3716D"/>
    <w:rsid w:val="712559EA"/>
    <w:rsid w:val="712D511A"/>
    <w:rsid w:val="71322E95"/>
    <w:rsid w:val="7157491F"/>
    <w:rsid w:val="715B3690"/>
    <w:rsid w:val="717B788E"/>
    <w:rsid w:val="71844269"/>
    <w:rsid w:val="71874C93"/>
    <w:rsid w:val="719426FE"/>
    <w:rsid w:val="71B341C0"/>
    <w:rsid w:val="71D038EC"/>
    <w:rsid w:val="71F424B4"/>
    <w:rsid w:val="72037E64"/>
    <w:rsid w:val="7238316B"/>
    <w:rsid w:val="7247568D"/>
    <w:rsid w:val="724E4553"/>
    <w:rsid w:val="726F6875"/>
    <w:rsid w:val="7281484F"/>
    <w:rsid w:val="729F57FE"/>
    <w:rsid w:val="72A42EE3"/>
    <w:rsid w:val="72AE77EF"/>
    <w:rsid w:val="72B33057"/>
    <w:rsid w:val="72DB610A"/>
    <w:rsid w:val="72E74AAF"/>
    <w:rsid w:val="73035C9B"/>
    <w:rsid w:val="7327134F"/>
    <w:rsid w:val="736305DA"/>
    <w:rsid w:val="73653E2D"/>
    <w:rsid w:val="73746DF9"/>
    <w:rsid w:val="73780BB9"/>
    <w:rsid w:val="737B3E7A"/>
    <w:rsid w:val="7383666A"/>
    <w:rsid w:val="738D029F"/>
    <w:rsid w:val="73996E7F"/>
    <w:rsid w:val="73A840D0"/>
    <w:rsid w:val="73BE0D53"/>
    <w:rsid w:val="73C4226D"/>
    <w:rsid w:val="73C66DBA"/>
    <w:rsid w:val="73EF3D7E"/>
    <w:rsid w:val="73F43927"/>
    <w:rsid w:val="73FB6A64"/>
    <w:rsid w:val="74166A67"/>
    <w:rsid w:val="74275AAB"/>
    <w:rsid w:val="74277859"/>
    <w:rsid w:val="744077DC"/>
    <w:rsid w:val="744C72C0"/>
    <w:rsid w:val="74581B18"/>
    <w:rsid w:val="74617DB0"/>
    <w:rsid w:val="74654825"/>
    <w:rsid w:val="74834597"/>
    <w:rsid w:val="74A54C22"/>
    <w:rsid w:val="74B55D55"/>
    <w:rsid w:val="74B96544"/>
    <w:rsid w:val="74F02341"/>
    <w:rsid w:val="74F266FD"/>
    <w:rsid w:val="74FF69A7"/>
    <w:rsid w:val="750179C3"/>
    <w:rsid w:val="750D6CB7"/>
    <w:rsid w:val="751029E3"/>
    <w:rsid w:val="75223AC4"/>
    <w:rsid w:val="75363ACC"/>
    <w:rsid w:val="754D1541"/>
    <w:rsid w:val="75580DDA"/>
    <w:rsid w:val="75635D25"/>
    <w:rsid w:val="757A16C5"/>
    <w:rsid w:val="757C6765"/>
    <w:rsid w:val="757E4740"/>
    <w:rsid w:val="758111EB"/>
    <w:rsid w:val="75A4312B"/>
    <w:rsid w:val="75B35E6D"/>
    <w:rsid w:val="75E52236"/>
    <w:rsid w:val="75E841DD"/>
    <w:rsid w:val="75FC2B72"/>
    <w:rsid w:val="760805F4"/>
    <w:rsid w:val="76241DC1"/>
    <w:rsid w:val="767904AE"/>
    <w:rsid w:val="767A71BF"/>
    <w:rsid w:val="768B4AF6"/>
    <w:rsid w:val="769211D6"/>
    <w:rsid w:val="769B04D6"/>
    <w:rsid w:val="76A84F5A"/>
    <w:rsid w:val="76CA4E14"/>
    <w:rsid w:val="76CF27C0"/>
    <w:rsid w:val="770A52F2"/>
    <w:rsid w:val="77352372"/>
    <w:rsid w:val="77811E9C"/>
    <w:rsid w:val="77933457"/>
    <w:rsid w:val="77954099"/>
    <w:rsid w:val="77B729E0"/>
    <w:rsid w:val="77B9202A"/>
    <w:rsid w:val="77BA67F0"/>
    <w:rsid w:val="77C46942"/>
    <w:rsid w:val="77CC4224"/>
    <w:rsid w:val="77CF2B76"/>
    <w:rsid w:val="77DC6B91"/>
    <w:rsid w:val="77E121B9"/>
    <w:rsid w:val="77E91B4A"/>
    <w:rsid w:val="77F13C27"/>
    <w:rsid w:val="78025AAE"/>
    <w:rsid w:val="78063C29"/>
    <w:rsid w:val="780B7AFB"/>
    <w:rsid w:val="783365AA"/>
    <w:rsid w:val="784F6333"/>
    <w:rsid w:val="7876129E"/>
    <w:rsid w:val="7884723A"/>
    <w:rsid w:val="789C0A48"/>
    <w:rsid w:val="78A538AB"/>
    <w:rsid w:val="78C7160B"/>
    <w:rsid w:val="78CE3C44"/>
    <w:rsid w:val="78E0091E"/>
    <w:rsid w:val="7902554B"/>
    <w:rsid w:val="79501DEC"/>
    <w:rsid w:val="79515378"/>
    <w:rsid w:val="796C32AD"/>
    <w:rsid w:val="7972247C"/>
    <w:rsid w:val="79955265"/>
    <w:rsid w:val="79B9204C"/>
    <w:rsid w:val="79C865DF"/>
    <w:rsid w:val="79CB0C87"/>
    <w:rsid w:val="7A14742D"/>
    <w:rsid w:val="7A1C1405"/>
    <w:rsid w:val="7A226BE9"/>
    <w:rsid w:val="7A2E7637"/>
    <w:rsid w:val="7A411B9B"/>
    <w:rsid w:val="7A4A42A1"/>
    <w:rsid w:val="7A6B2DF6"/>
    <w:rsid w:val="7A735E28"/>
    <w:rsid w:val="7A7B08FF"/>
    <w:rsid w:val="7A8157E9"/>
    <w:rsid w:val="7A8279C3"/>
    <w:rsid w:val="7A861051"/>
    <w:rsid w:val="7A89335E"/>
    <w:rsid w:val="7A9C0875"/>
    <w:rsid w:val="7AB34DBD"/>
    <w:rsid w:val="7AF81F4F"/>
    <w:rsid w:val="7B055A91"/>
    <w:rsid w:val="7B36422F"/>
    <w:rsid w:val="7B532E71"/>
    <w:rsid w:val="7B66335D"/>
    <w:rsid w:val="7B6B6F57"/>
    <w:rsid w:val="7B7900AE"/>
    <w:rsid w:val="7B9B2EE0"/>
    <w:rsid w:val="7BB23A06"/>
    <w:rsid w:val="7BBB629A"/>
    <w:rsid w:val="7BC97448"/>
    <w:rsid w:val="7BCB31C0"/>
    <w:rsid w:val="7BD865C1"/>
    <w:rsid w:val="7BDB5F55"/>
    <w:rsid w:val="7BEB1AB4"/>
    <w:rsid w:val="7BEE6EAE"/>
    <w:rsid w:val="7C036DFE"/>
    <w:rsid w:val="7C1F52BA"/>
    <w:rsid w:val="7C296138"/>
    <w:rsid w:val="7C2D7459"/>
    <w:rsid w:val="7C417926"/>
    <w:rsid w:val="7C873D2F"/>
    <w:rsid w:val="7C8D5D7B"/>
    <w:rsid w:val="7CBB3234"/>
    <w:rsid w:val="7CC32839"/>
    <w:rsid w:val="7CD267D0"/>
    <w:rsid w:val="7CF76237"/>
    <w:rsid w:val="7D1172F8"/>
    <w:rsid w:val="7D14781B"/>
    <w:rsid w:val="7D171380"/>
    <w:rsid w:val="7D1D5C9D"/>
    <w:rsid w:val="7D3F5CA4"/>
    <w:rsid w:val="7D541CBA"/>
    <w:rsid w:val="7D592A4D"/>
    <w:rsid w:val="7D6A087E"/>
    <w:rsid w:val="7D6A6A08"/>
    <w:rsid w:val="7D8B37E3"/>
    <w:rsid w:val="7D965A4F"/>
    <w:rsid w:val="7E095BB6"/>
    <w:rsid w:val="7E0C01AE"/>
    <w:rsid w:val="7E273665"/>
    <w:rsid w:val="7E3A287F"/>
    <w:rsid w:val="7E77378E"/>
    <w:rsid w:val="7EC301BA"/>
    <w:rsid w:val="7ECE2477"/>
    <w:rsid w:val="7EEB4EBA"/>
    <w:rsid w:val="7F05035E"/>
    <w:rsid w:val="7F1339B9"/>
    <w:rsid w:val="7F1E3F4E"/>
    <w:rsid w:val="7F7778EF"/>
    <w:rsid w:val="7FAF4BA7"/>
    <w:rsid w:val="7FB47CFF"/>
    <w:rsid w:val="7FCF1F11"/>
    <w:rsid w:val="7FDF36DE"/>
    <w:rsid w:val="7FE42AA2"/>
    <w:rsid w:val="7FF33517"/>
    <w:rsid w:val="7FFF0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line="580" w:lineRule="exact"/>
      <w:ind w:firstLine="720" w:firstLineChars="200"/>
      <w:outlineLvl w:val="1"/>
    </w:pPr>
    <w:rPr>
      <w:rFonts w:ascii="Arial" w:hAnsi="Arial" w:eastAsia="黑体"/>
      <w:bCs/>
      <w:sz w:val="32"/>
      <w:szCs w:val="32"/>
    </w:rPr>
  </w:style>
  <w:style w:type="paragraph" w:styleId="4">
    <w:name w:val="heading 3"/>
    <w:basedOn w:val="1"/>
    <w:next w:val="1"/>
    <w:link w:val="30"/>
    <w:qFormat/>
    <w:uiPriority w:val="9"/>
    <w:pPr>
      <w:keepNext/>
      <w:keepLines/>
      <w:spacing w:line="580" w:lineRule="exact"/>
      <w:ind w:firstLine="720" w:firstLineChars="200"/>
      <w:outlineLvl w:val="2"/>
    </w:pPr>
    <w:rPr>
      <w:rFonts w:ascii="等线" w:hAnsi="等线" w:eastAsia="楷体_GB2312"/>
      <w:bCs/>
      <w:sz w:val="32"/>
      <w:szCs w:val="32"/>
    </w:rPr>
  </w:style>
  <w:style w:type="character" w:default="1" w:styleId="21">
    <w:name w:val="Default Paragraph Font"/>
    <w:unhideWhenUsed/>
    <w:qFormat/>
    <w:uiPriority w:val="1"/>
  </w:style>
  <w:style w:type="table" w:default="1" w:styleId="1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next w:val="1"/>
    <w:unhideWhenUsed/>
    <w:qFormat/>
    <w:uiPriority w:val="99"/>
    <w:pPr>
      <w:spacing w:line="660" w:lineRule="exact"/>
      <w:ind w:firstLine="420"/>
    </w:pPr>
    <w:rPr>
      <w:rFonts w:ascii="Calibri" w:hAnsi="Calibri"/>
    </w:rPr>
  </w:style>
  <w:style w:type="paragraph" w:styleId="6">
    <w:name w:val="index 5"/>
    <w:basedOn w:val="1"/>
    <w:next w:val="1"/>
    <w:qFormat/>
    <w:uiPriority w:val="0"/>
    <w:pPr>
      <w:ind w:left="1680"/>
    </w:pPr>
  </w:style>
  <w:style w:type="paragraph" w:styleId="7">
    <w:name w:val="annotation text"/>
    <w:basedOn w:val="1"/>
    <w:qFormat/>
    <w:uiPriority w:val="0"/>
    <w:pPr>
      <w:jc w:val="left"/>
    </w:pPr>
  </w:style>
  <w:style w:type="paragraph" w:styleId="8">
    <w:name w:val="Body Text"/>
    <w:basedOn w:val="1"/>
    <w:next w:val="9"/>
    <w:qFormat/>
    <w:uiPriority w:val="0"/>
    <w:pPr>
      <w:spacing w:after="140" w:line="276" w:lineRule="auto"/>
    </w:pPr>
  </w:style>
  <w:style w:type="paragraph" w:customStyle="1" w:styleId="9">
    <w:name w:val="正文文本首行缩进1"/>
    <w:basedOn w:val="8"/>
    <w:qFormat/>
    <w:uiPriority w:val="0"/>
    <w:pPr>
      <w:spacing w:line="580" w:lineRule="exact"/>
    </w:pPr>
    <w:rPr>
      <w:szCs w:val="28"/>
    </w:rPr>
  </w:style>
  <w:style w:type="paragraph" w:styleId="10">
    <w:name w:val="Body Text Indent"/>
    <w:basedOn w:val="1"/>
    <w:next w:val="5"/>
    <w:semiHidden/>
    <w:qFormat/>
    <w:uiPriority w:val="99"/>
    <w:pPr>
      <w:spacing w:after="120"/>
      <w:ind w:left="420" w:leftChars="200"/>
    </w:pPr>
  </w:style>
  <w:style w:type="paragraph" w:styleId="11">
    <w:name w:val="toc 3"/>
    <w:basedOn w:val="1"/>
    <w:next w:val="1"/>
    <w:qFormat/>
    <w:uiPriority w:val="39"/>
    <w:pPr>
      <w:ind w:left="840" w:leftChars="4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footnote text"/>
    <w:basedOn w:val="1"/>
    <w:qFormat/>
    <w:uiPriority w:val="0"/>
    <w:pPr>
      <w:snapToGrid w:val="0"/>
      <w:jc w:val="left"/>
    </w:pPr>
    <w:rPr>
      <w:sz w:val="18"/>
    </w:rPr>
  </w:style>
  <w:style w:type="paragraph" w:styleId="16">
    <w:name w:val="toc 2"/>
    <w:basedOn w:val="1"/>
    <w:next w:val="1"/>
    <w:qFormat/>
    <w:uiPriority w:val="0"/>
    <w:pPr>
      <w:ind w:left="420" w:leftChars="200"/>
    </w:pPr>
  </w:style>
  <w:style w:type="paragraph" w:styleId="17">
    <w:name w:val="Body Text First Indent"/>
    <w:basedOn w:val="8"/>
    <w:next w:val="1"/>
    <w:qFormat/>
    <w:uiPriority w:val="0"/>
    <w:pPr>
      <w:spacing w:after="120"/>
      <w:ind w:firstLine="420" w:firstLineChars="100"/>
    </w:pPr>
    <w:rPr>
      <w:szCs w:val="20"/>
    </w:rPr>
  </w:style>
  <w:style w:type="paragraph" w:styleId="18">
    <w:name w:val="Body Text First Indent 2"/>
    <w:basedOn w:val="10"/>
    <w:next w:val="1"/>
    <w:qFormat/>
    <w:uiPriority w:val="99"/>
    <w:pPr>
      <w:spacing w:after="0"/>
      <w:ind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page number"/>
    <w:qFormat/>
    <w:uiPriority w:val="0"/>
  </w:style>
  <w:style w:type="character" w:styleId="24">
    <w:name w:val="Hyperlink"/>
    <w:basedOn w:val="21"/>
    <w:unhideWhenUsed/>
    <w:qFormat/>
    <w:uiPriority w:val="99"/>
    <w:rPr>
      <w:color w:val="0000FF" w:themeColor="hyperlink"/>
      <w:u w:val="single"/>
      <w14:textFill>
        <w14:solidFill>
          <w14:schemeClr w14:val="hlink"/>
        </w14:solidFill>
      </w14:textFill>
    </w:rPr>
  </w:style>
  <w:style w:type="character" w:styleId="25">
    <w:name w:val="annotation reference"/>
    <w:basedOn w:val="21"/>
    <w:qFormat/>
    <w:uiPriority w:val="0"/>
    <w:rPr>
      <w:sz w:val="21"/>
      <w:szCs w:val="21"/>
    </w:rPr>
  </w:style>
  <w:style w:type="character" w:styleId="26">
    <w:name w:val="footnote reference"/>
    <w:qFormat/>
    <w:uiPriority w:val="0"/>
    <w:rPr>
      <w:vertAlign w:val="superscript"/>
    </w:rPr>
  </w:style>
  <w:style w:type="paragraph" w:customStyle="1" w:styleId="27">
    <w:name w:val="正文首行缩进 21"/>
    <w:basedOn w:val="28"/>
    <w:qFormat/>
    <w:uiPriority w:val="0"/>
    <w:pPr>
      <w:spacing w:before="100" w:beforeAutospacing="1" w:after="100" w:afterAutospacing="1"/>
      <w:ind w:firstLine="420" w:firstLineChars="200"/>
    </w:pPr>
  </w:style>
  <w:style w:type="paragraph" w:customStyle="1" w:styleId="28">
    <w:name w:val="Body Text Indent1"/>
    <w:basedOn w:val="1"/>
    <w:unhideWhenUsed/>
    <w:qFormat/>
    <w:uiPriority w:val="99"/>
    <w:pPr>
      <w:ind w:left="420" w:leftChars="200"/>
    </w:pPr>
    <w:rPr>
      <w:rFonts w:hint="eastAsia"/>
    </w:rPr>
  </w:style>
  <w:style w:type="character" w:customStyle="1" w:styleId="29">
    <w:name w:val="标题 2 字符"/>
    <w:link w:val="3"/>
    <w:qFormat/>
    <w:uiPriority w:val="0"/>
    <w:rPr>
      <w:rFonts w:ascii="Arial" w:hAnsi="Arial" w:eastAsia="黑体"/>
      <w:bCs/>
      <w:kern w:val="2"/>
      <w:sz w:val="32"/>
      <w:szCs w:val="32"/>
    </w:rPr>
  </w:style>
  <w:style w:type="character" w:customStyle="1" w:styleId="30">
    <w:name w:val="标题 3 字符"/>
    <w:link w:val="4"/>
    <w:qFormat/>
    <w:uiPriority w:val="9"/>
    <w:rPr>
      <w:rFonts w:ascii="等线" w:hAnsi="等线" w:eastAsia="楷体_GB2312"/>
      <w:bCs/>
      <w:kern w:val="2"/>
      <w:sz w:val="32"/>
      <w:szCs w:val="32"/>
    </w:rPr>
  </w:style>
  <w:style w:type="character" w:customStyle="1" w:styleId="31">
    <w:name w:val="标题 1 字符"/>
    <w:link w:val="2"/>
    <w:qFormat/>
    <w:uiPriority w:val="0"/>
    <w:rPr>
      <w:b/>
      <w:bCs/>
      <w:kern w:val="44"/>
      <w:sz w:val="44"/>
      <w:szCs w:val="44"/>
    </w:rPr>
  </w:style>
  <w:style w:type="paragraph" w:customStyle="1" w:styleId="32">
    <w:name w:val="Char"/>
    <w:basedOn w:val="1"/>
    <w:qFormat/>
    <w:uiPriority w:val="0"/>
    <w:pPr>
      <w:adjustRightInd w:val="0"/>
      <w:snapToGrid w:val="0"/>
      <w:spacing w:beforeLines="150" w:line="360" w:lineRule="auto"/>
      <w:ind w:firstLine="192" w:firstLineChars="192"/>
    </w:pPr>
    <w:rPr>
      <w:rFonts w:ascii="仿宋_GB2312" w:hAnsi="仿宋_GB2312" w:eastAsia="仿宋_GB2312"/>
      <w:sz w:val="32"/>
      <w:szCs w:val="20"/>
    </w:rPr>
  </w:style>
  <w:style w:type="paragraph" w:customStyle="1" w:styleId="33">
    <w:name w:val="Body Text First Indent 21"/>
    <w:basedOn w:val="28"/>
    <w:unhideWhenUsed/>
    <w:qFormat/>
    <w:uiPriority w:val="99"/>
    <w:pPr>
      <w:ind w:firstLine="420" w:firstLineChars="200"/>
    </w:pPr>
  </w:style>
  <w:style w:type="paragraph" w:customStyle="1" w:styleId="34">
    <w:name w:val="正文-公1"/>
    <w:basedOn w:val="1"/>
    <w:qFormat/>
    <w:uiPriority w:val="0"/>
    <w:pPr>
      <w:ind w:firstLine="200" w:firstLineChars="200"/>
    </w:pPr>
    <w:rPr>
      <w:rFonts w:ascii="Calibri" w:hAnsi="Calibri"/>
    </w:rPr>
  </w:style>
  <w:style w:type="paragraph" w:customStyle="1" w:styleId="35">
    <w:name w:val="Char1"/>
    <w:basedOn w:val="1"/>
    <w:qFormat/>
    <w:uiPriority w:val="99"/>
    <w:pPr>
      <w:spacing w:line="360" w:lineRule="auto"/>
      <w:ind w:firstLine="420"/>
    </w:pPr>
    <w:rPr>
      <w:rFonts w:ascii="宋体" w:hAnsi="宋体" w:cs="宋体"/>
      <w:sz w:val="30"/>
    </w:rPr>
  </w:style>
  <w:style w:type="paragraph" w:customStyle="1" w:styleId="36">
    <w:name w:val="2025 三级标题1"/>
    <w:basedOn w:val="1"/>
    <w:qFormat/>
    <w:uiPriority w:val="99"/>
    <w:pPr>
      <w:spacing w:beforeLines="50" w:afterLines="50" w:line="560" w:lineRule="exact"/>
      <w:ind w:firstLine="640" w:firstLineChars="200"/>
      <w:outlineLvl w:val="2"/>
    </w:pPr>
    <w:rPr>
      <w:rFonts w:ascii="黑体" w:hAnsi="黑体" w:eastAsia="黑体" w:cs="黑体"/>
      <w:sz w:val="32"/>
      <w:szCs w:val="32"/>
    </w:rPr>
  </w:style>
  <w:style w:type="character" w:customStyle="1" w:styleId="37">
    <w:name w:val="font11"/>
    <w:basedOn w:val="21"/>
    <w:qFormat/>
    <w:uiPriority w:val="0"/>
    <w:rPr>
      <w:rFonts w:ascii="Times New Roman" w:hAnsi="Times New Roman" w:cs="Times New Roman"/>
      <w:color w:val="000000"/>
      <w:sz w:val="18"/>
      <w:szCs w:val="18"/>
      <w:u w:val="none"/>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paragraph" w:styleId="40">
    <w:name w:val="List Paragraph"/>
    <w:basedOn w:val="1"/>
    <w:qFormat/>
    <w:uiPriority w:val="99"/>
    <w:pPr>
      <w:ind w:firstLine="420" w:firstLineChars="200"/>
    </w:pPr>
  </w:style>
  <w:style w:type="character" w:customStyle="1" w:styleId="41">
    <w:name w:val="font51"/>
    <w:basedOn w:val="21"/>
    <w:qFormat/>
    <w:uiPriority w:val="0"/>
    <w:rPr>
      <w:rFonts w:ascii="仿宋_GB2312" w:eastAsia="仿宋_GB2312" w:cs="仿宋_GB2312"/>
      <w:color w:val="000000"/>
      <w:sz w:val="20"/>
      <w:szCs w:val="20"/>
      <w:u w:val="none"/>
    </w:rPr>
  </w:style>
  <w:style w:type="character" w:customStyle="1" w:styleId="42">
    <w:name w:val="font21"/>
    <w:basedOn w:val="21"/>
    <w:qFormat/>
    <w:uiPriority w:val="0"/>
    <w:rPr>
      <w:rFonts w:hint="eastAsia" w:ascii="方正仿宋简体" w:hAnsi="方正仿宋简体" w:eastAsia="方正仿宋简体" w:cs="方正仿宋简体"/>
      <w:b/>
      <w:bCs/>
      <w:color w:val="000000"/>
      <w:sz w:val="24"/>
      <w:szCs w:val="24"/>
      <w:u w:val="none"/>
    </w:rPr>
  </w:style>
  <w:style w:type="character" w:customStyle="1" w:styleId="43">
    <w:name w:val="font41"/>
    <w:basedOn w:val="21"/>
    <w:qFormat/>
    <w:uiPriority w:val="0"/>
    <w:rPr>
      <w:rFonts w:hint="eastAsia" w:ascii="宋体" w:hAnsi="宋体" w:eastAsia="宋体" w:cs="宋体"/>
      <w:color w:val="000000"/>
      <w:sz w:val="20"/>
      <w:szCs w:val="20"/>
      <w:u w:val="none"/>
    </w:rPr>
  </w:style>
  <w:style w:type="character" w:customStyle="1" w:styleId="44">
    <w:name w:val="font31"/>
    <w:basedOn w:val="21"/>
    <w:qFormat/>
    <w:uiPriority w:val="0"/>
    <w:rPr>
      <w:rFonts w:hint="eastAsia" w:ascii="宋体" w:hAnsi="宋体" w:eastAsia="宋体" w:cs="宋体"/>
      <w:color w:val="000000"/>
      <w:sz w:val="20"/>
      <w:szCs w:val="20"/>
      <w:u w:val="none"/>
    </w:rPr>
  </w:style>
  <w:style w:type="character" w:customStyle="1" w:styleId="45">
    <w:name w:val="font61"/>
    <w:basedOn w:val="21"/>
    <w:qFormat/>
    <w:uiPriority w:val="0"/>
    <w:rPr>
      <w:rFonts w:hint="eastAsia" w:ascii="宋体" w:hAnsi="宋体" w:eastAsia="宋体" w:cs="宋体"/>
      <w:b/>
      <w:bCs/>
      <w:color w:val="0000FF"/>
      <w:sz w:val="22"/>
      <w:szCs w:val="22"/>
      <w:u w:val="none"/>
    </w:rPr>
  </w:style>
  <w:style w:type="paragraph" w:customStyle="1" w:styleId="4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7">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3A163-C8F2-4EF8-99FC-A7FF598EA006}">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39913</Words>
  <Characters>44209</Characters>
  <Lines>345</Lines>
  <Paragraphs>97</Paragraphs>
  <TotalTime>0</TotalTime>
  <ScaleCrop>false</ScaleCrop>
  <LinksUpToDate>false</LinksUpToDate>
  <CharactersWithSpaces>44777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2018-05-15T06:17:00Z</dcterms:created>
  <dc:creator>Administrator</dc:creator>
  <cp:lastModifiedBy>Administrator</cp:lastModifiedBy>
  <cp:lastPrinted>2023-10-11T07:14:00Z</cp:lastPrinted>
  <dcterms:modified xsi:type="dcterms:W3CDTF">2023-12-04T06:26:28Z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2D8221FEDC564677B1D00BF4841EDE6B_13</vt:lpwstr>
  </property>
</Properties>
</file>