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仿宋_GB2312" w:hAnsi="仿宋_GB2312" w:eastAsia="仿宋_GB2312" w:cs="仿宋_GB2312"/>
          <w:kern w:val="2"/>
          <w:sz w:val="40"/>
          <w:szCs w:val="4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40"/>
          <w:szCs w:val="40"/>
          <w:lang w:val="en-US" w:eastAsia="zh-CN" w:bidi="ar-SA"/>
        </w:rPr>
        <w:t>继续有效的规范性文件目录</w:t>
      </w:r>
    </w:p>
    <w:tbl>
      <w:tblPr>
        <w:tblStyle w:val="5"/>
        <w:tblW w:w="9645" w:type="dxa"/>
        <w:tblInd w:w="-5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5145"/>
        <w:gridCol w:w="3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9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514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文件名称</w:t>
            </w:r>
          </w:p>
        </w:tc>
        <w:tc>
          <w:tcPr>
            <w:tcW w:w="310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514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instrText xml:space="preserve"> HYPERLINK "http://www.fh.gov.cn/art/2018/5/16/art_1229559487_396607.html" \t "http://www.fh.gov.cn/col/col1229165315/_blank" </w:instrTex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关于加快招商引资和经济发展的若干奖励政策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fldChar w:fldCharType="end"/>
            </w:r>
          </w:p>
        </w:tc>
        <w:tc>
          <w:tcPr>
            <w:tcW w:w="310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奉岳办〔2018〕33号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39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514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instrText xml:space="preserve"> HYPERLINK "http://www.fh.gov.cn/art/2018/5/20/art_1229559487_396611.html" \t "http://www.fh.gov.cn/col/col1229165315/_blank" </w:instrTex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岳林街道编外用工管理办法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fldChar w:fldCharType="end"/>
            </w:r>
          </w:p>
        </w:tc>
        <w:tc>
          <w:tcPr>
            <w:tcW w:w="3105" w:type="dxa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  <w:t>奉岳党〔2018〕42号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754B45"/>
    <w:rsid w:val="5849137D"/>
    <w:rsid w:val="67206FAA"/>
    <w:rsid w:val="6D5608A4"/>
    <w:rsid w:val="75EC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2021-11-25T00:23:00Z</dcterms:created>
  <dc:creator>309-1</dc:creator>
  <cp:lastModifiedBy>309-1</cp:lastModifiedBy>
  <dcterms:modified xsi:type="dcterms:W3CDTF">2021-11-25T01:10:53Z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