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宁波市奉化区人民政府</w:t>
      </w:r>
      <w:r>
        <w:rPr>
          <w:rFonts w:hint="eastAsia" w:ascii="方正小标宋简体" w:hAnsi="方正小标宋简体" w:eastAsia="方正小标宋简体" w:cs="方正小标宋简体"/>
          <w:sz w:val="44"/>
          <w:szCs w:val="44"/>
          <w:lang w:val="en-US" w:eastAsia="zh-CN"/>
        </w:rPr>
        <w:t>办公室</w:t>
      </w: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22</w:t>
      </w:r>
      <w:r>
        <w:rPr>
          <w:rFonts w:hint="eastAsia" w:ascii="方正小标宋简体" w:hAnsi="方正小标宋简体" w:eastAsia="方正小标宋简体" w:cs="方正小标宋简体"/>
          <w:sz w:val="44"/>
          <w:szCs w:val="44"/>
        </w:rPr>
        <w:t>年政府信息公开工作年度报告</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本年度报告根据《中华人民共和国政府信息公开条例》（以下简称《条例》）的要求，结合宁波市奉化区人民政府20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年度政府信息公开工作编制。全文包括总体情况、</w:t>
      </w:r>
      <w:r>
        <w:rPr>
          <w:rFonts w:hint="eastAsia" w:ascii="仿宋_GB2312" w:hAnsi="仿宋_GB2312" w:eastAsia="仿宋_GB2312" w:cs="仿宋_GB2312"/>
          <w:sz w:val="32"/>
          <w:szCs w:val="32"/>
          <w:lang w:val="en-US" w:eastAsia="zh-CN"/>
        </w:rPr>
        <w:t>行政机关</w:t>
      </w:r>
      <w:r>
        <w:rPr>
          <w:rFonts w:hint="eastAsia" w:ascii="仿宋_GB2312" w:hAnsi="仿宋_GB2312" w:eastAsia="仿宋_GB2312" w:cs="仿宋_GB2312"/>
          <w:sz w:val="32"/>
          <w:szCs w:val="32"/>
        </w:rPr>
        <w:t>主动公开政府信息情况、</w:t>
      </w:r>
      <w:r>
        <w:rPr>
          <w:rFonts w:hint="eastAsia" w:ascii="仿宋_GB2312" w:hAnsi="仿宋_GB2312" w:eastAsia="仿宋_GB2312" w:cs="仿宋_GB2312"/>
          <w:sz w:val="32"/>
          <w:szCs w:val="32"/>
          <w:lang w:val="en-US" w:eastAsia="zh-CN"/>
        </w:rPr>
        <w:t>行政机关</w:t>
      </w:r>
      <w:r>
        <w:rPr>
          <w:rFonts w:hint="eastAsia" w:ascii="仿宋_GB2312" w:hAnsi="仿宋_GB2312" w:eastAsia="仿宋_GB2312" w:cs="仿宋_GB2312"/>
          <w:sz w:val="32"/>
          <w:szCs w:val="32"/>
        </w:rPr>
        <w:t>收到和处理政府信息公开申请情况、因政府信息公开工作被申请行政复议和提起行政诉讼情况、政府信息公开工作存在的主要问题及改进情况及其他需要报告的事项等六部分组成。本年度报告中所列数据统计期限从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月1日到12月31日止。本报告的电子版可在奉化区政府网站（www.fh.gov.cn）下载。如对报告有任何疑问，请与奉化区人民政府办公室联系（地址：宁波市奉化区锦屏南路1号，邮编：315500，电话:0574-89286053,电子邮箱：</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"mailto:fenghua@ningbo.gov.cn）。"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fenghua@ningbo.gov.cn）。</w:t>
      </w:r>
      <w:r>
        <w:rPr>
          <w:rFonts w:hint="eastAsia" w:ascii="仿宋_GB2312" w:hAnsi="仿宋_GB2312" w:eastAsia="仿宋_GB2312" w:cs="仿宋_GB2312"/>
          <w:sz w:val="32"/>
          <w:szCs w:val="32"/>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年，奉化</w:t>
      </w:r>
      <w:r>
        <w:rPr>
          <w:rFonts w:hint="eastAsia" w:ascii="仿宋_GB2312" w:hAnsi="仿宋_GB2312" w:eastAsia="仿宋_GB2312" w:cs="仿宋_GB2312"/>
          <w:sz w:val="32"/>
          <w:szCs w:val="32"/>
          <w:u w:val="none"/>
          <w:lang w:val="en-US" w:eastAsia="zh-CN"/>
        </w:rPr>
        <w:t>区政府办公室</w:t>
      </w:r>
      <w:r>
        <w:rPr>
          <w:rFonts w:hint="eastAsia" w:ascii="仿宋_GB2312" w:hAnsi="仿宋_GB2312" w:eastAsia="仿宋_GB2312" w:cs="仿宋_GB2312"/>
          <w:sz w:val="32"/>
          <w:szCs w:val="32"/>
          <w:lang w:eastAsia="zh-CN"/>
        </w:rPr>
        <w:t>坚持以习近平新时代中国特色社会主义思想为指导，围绕区委、区政府中心工作，着力提升政务公开标准化规范化水平，充分发挥政务公开助力建设现代化滨海大都市健康美丽新城区积极作用。</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主动公开情况。</w:t>
      </w:r>
      <w:r>
        <w:rPr>
          <w:rFonts w:hint="eastAsia" w:ascii="仿宋_GB2312" w:hAnsi="仿宋_GB2312" w:eastAsia="仿宋_GB2312" w:cs="仿宋_GB2312"/>
          <w:sz w:val="32"/>
          <w:szCs w:val="32"/>
          <w:u w:val="none"/>
          <w:lang w:val="en-US" w:eastAsia="zh-CN"/>
        </w:rPr>
        <w:t>区政府办公室</w:t>
      </w:r>
      <w:r>
        <w:rPr>
          <w:rFonts w:hint="eastAsia" w:ascii="仿宋_GB2312" w:hAnsi="仿宋_GB2312" w:eastAsia="仿宋_GB2312" w:cs="仿宋_GB2312"/>
          <w:sz w:val="32"/>
          <w:szCs w:val="32"/>
          <w:u w:val="none"/>
        </w:rPr>
        <w:t>全年</w:t>
      </w:r>
      <w:r>
        <w:rPr>
          <w:rFonts w:hint="eastAsia" w:ascii="仿宋_GB2312" w:hAnsi="仿宋_GB2312" w:eastAsia="仿宋_GB2312" w:cs="仿宋_GB2312"/>
          <w:sz w:val="32"/>
          <w:szCs w:val="32"/>
          <w:u w:val="none"/>
          <w:lang w:val="en-US" w:eastAsia="zh-CN"/>
        </w:rPr>
        <w:t>在</w:t>
      </w:r>
      <w:r>
        <w:rPr>
          <w:rFonts w:hint="eastAsia" w:ascii="仿宋_GB2312" w:hAnsi="仿宋_GB2312" w:eastAsia="仿宋_GB2312" w:cs="仿宋_GB2312"/>
          <w:sz w:val="32"/>
          <w:szCs w:val="32"/>
          <w:u w:val="none"/>
        </w:rPr>
        <w:t>政府网站公开信息</w:t>
      </w:r>
      <w:r>
        <w:rPr>
          <w:rFonts w:hint="eastAsia" w:ascii="仿宋_GB2312" w:hAnsi="仿宋_GB2312" w:eastAsia="仿宋_GB2312" w:cs="仿宋_GB2312"/>
          <w:color w:val="auto"/>
          <w:sz w:val="32"/>
          <w:szCs w:val="32"/>
          <w:highlight w:val="none"/>
          <w:u w:val="none"/>
          <w:lang w:val="en-US" w:eastAsia="zh-CN"/>
        </w:rPr>
        <w:t>1241</w:t>
      </w:r>
      <w:r>
        <w:rPr>
          <w:rFonts w:hint="eastAsia" w:ascii="仿宋_GB2312" w:hAnsi="仿宋_GB2312" w:eastAsia="仿宋_GB2312" w:cs="仿宋_GB2312"/>
          <w:sz w:val="32"/>
          <w:szCs w:val="32"/>
          <w:u w:val="none"/>
        </w:rPr>
        <w:t>条，政府公报公开信息</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12</w:t>
      </w:r>
      <w:r>
        <w:rPr>
          <w:rFonts w:hint="eastAsia" w:ascii="仿宋_GB2312" w:hAnsi="仿宋_GB2312" w:eastAsia="仿宋_GB2312" w:cs="仿宋_GB2312"/>
          <w:sz w:val="32"/>
          <w:szCs w:val="32"/>
          <w:u w:val="none"/>
        </w:rPr>
        <w:t>期</w:t>
      </w:r>
      <w:r>
        <w:rPr>
          <w:rFonts w:hint="eastAsia" w:ascii="仿宋_GB2312" w:hAnsi="仿宋_GB2312" w:eastAsia="仿宋_GB2312" w:cs="仿宋_GB2312"/>
          <w:sz w:val="32"/>
          <w:szCs w:val="32"/>
          <w:lang w:val="en-US" w:eastAsia="zh-CN"/>
        </w:rPr>
        <w:t>。</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（二）依申请公开情况。</w:t>
      </w:r>
      <w:r>
        <w:rPr>
          <w:rFonts w:hint="eastAsia" w:ascii="仿宋_GB2312" w:hAnsi="仿宋_GB2312" w:eastAsia="仿宋_GB2312" w:cs="仿宋_GB2312"/>
          <w:sz w:val="32"/>
          <w:szCs w:val="32"/>
          <w:u w:val="none"/>
          <w:lang w:val="en-US" w:eastAsia="zh-CN"/>
        </w:rPr>
        <w:t>今年以来，区政府办公室高效办结依申请公开</w:t>
      </w:r>
      <w:r>
        <w:rPr>
          <w:rFonts w:hint="eastAsia" w:ascii="仿宋_GB2312" w:hAnsi="仿宋_GB2312" w:eastAsia="仿宋_GB2312" w:cs="仿宋_GB2312"/>
          <w:sz w:val="32"/>
          <w:szCs w:val="32"/>
          <w:highlight w:val="none"/>
          <w:u w:val="none"/>
          <w:lang w:val="en-US" w:eastAsia="zh-CN"/>
        </w:rPr>
        <w:t>56</w:t>
      </w:r>
      <w:r>
        <w:rPr>
          <w:rFonts w:hint="eastAsia" w:ascii="仿宋_GB2312" w:hAnsi="仿宋_GB2312" w:eastAsia="仿宋_GB2312" w:cs="仿宋_GB2312"/>
          <w:sz w:val="32"/>
          <w:szCs w:val="32"/>
          <w:u w:val="none"/>
          <w:lang w:val="en-US" w:eastAsia="zh-CN"/>
        </w:rPr>
        <w:t>件</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，未</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引起相应的行政复议或诉讼</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（三）政府信息管理情况。</w:t>
      </w:r>
      <w:r>
        <w:rPr>
          <w:rFonts w:hint="eastAsia" w:ascii="仿宋_GB2312" w:hAnsi="仿宋_GB2312" w:eastAsia="仿宋_GB2312" w:cs="仿宋_GB2312"/>
          <w:sz w:val="32"/>
          <w:szCs w:val="32"/>
          <w:lang w:val="en-US" w:eastAsia="zh-CN"/>
        </w:rPr>
        <w:t>印发《2022年宁波市奉化区政务公开工作任务分解》，督促压实各相关单位工作责任。根据《奉化区人民政府信息依申请公开转主动公开工作制度》，今年以来，全区共有23条依申请公开政府信息转为主动公开。</w:t>
      </w:r>
      <w:r>
        <w:rPr>
          <w:rFonts w:hint="eastAsia" w:ascii="仿宋_GB2312" w:hAnsi="仿宋_GB2312" w:eastAsia="仿宋_GB2312" w:cs="仿宋_GB2312"/>
          <w:sz w:val="32"/>
          <w:szCs w:val="32"/>
          <w:u w:val="none"/>
          <w:lang w:val="en-US" w:eastAsia="zh-CN"/>
        </w:rPr>
        <w:t>印发《关于做好政务公开敏感信息问题自查工作的通知》，重点围绕身份证号、手机号、金融账号、健康状况等敏感个人信息开展自查整改，共发现敏感个人信息386条，均按要求完成整改。</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（四）政府信息公开平台建设情况。</w:t>
      </w:r>
      <w:r>
        <w:rPr>
          <w:rFonts w:hint="eastAsia" w:ascii="仿宋_GB2312" w:hAnsi="仿宋_GB2312" w:eastAsia="仿宋_GB2312" w:cs="仿宋_GB2312"/>
          <w:sz w:val="32"/>
          <w:szCs w:val="32"/>
          <w:u w:val="none"/>
          <w:lang w:val="en-US" w:eastAsia="zh-CN"/>
        </w:rPr>
        <w:t>全区所有政府部门网站已全部关停，统一归集至省政府集约化平台，实现政策文件等栏目信息同源发布。奉化区共有46个政务新媒体账号纳入规范化建设工作，目前已注销41个，建成纵向以“奉化发布”为龙头、横向以公安、卫健、教育、文旅等民生领域部门账号为主体，整体联动、集体发声的政务新媒体矩阵，充分发挥政务新媒体推动政府职能转变、建设服务型政府的重要作用。</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lang w:val="en-US" w:eastAsia="zh-CN"/>
        </w:rPr>
      </w:pPr>
      <w:r>
        <w:rPr>
          <w:rFonts w:hint="eastAsia" w:ascii="楷体_GB2312" w:hAnsi="楷体_GB2312" w:eastAsia="楷体_GB2312" w:cs="楷体_GB2312"/>
          <w:sz w:val="32"/>
          <w:szCs w:val="32"/>
          <w:lang w:val="en-US" w:eastAsia="zh-CN"/>
        </w:rPr>
        <w:t>（五）监督保障情况。</w:t>
      </w:r>
      <w:r>
        <w:rPr>
          <w:rFonts w:hint="eastAsia" w:ascii="仿宋_GB2312" w:hAnsi="黑体" w:eastAsia="仿宋_GB2312"/>
          <w:sz w:val="32"/>
          <w:szCs w:val="32"/>
        </w:rPr>
        <w:t>围绕政务公开重点工作、薄弱环节加大考核力度，</w:t>
      </w:r>
      <w:r>
        <w:rPr>
          <w:rFonts w:hint="eastAsia" w:ascii="仿宋_GB2312" w:hAnsi="黑体" w:eastAsia="仿宋_GB2312"/>
          <w:sz w:val="32"/>
          <w:szCs w:val="32"/>
          <w:lang w:val="en-US" w:eastAsia="zh-CN"/>
        </w:rPr>
        <w:t>通过制定奉化区政务信息公开</w:t>
      </w:r>
      <w:r>
        <w:rPr>
          <w:rFonts w:hint="eastAsia" w:ascii="仿宋_GB2312" w:hAnsi="仿宋_GB2312" w:eastAsia="仿宋_GB2312" w:cs="仿宋_GB2312"/>
          <w:sz w:val="32"/>
          <w:szCs w:val="32"/>
        </w:rPr>
        <w:t>考核及评分</w:t>
      </w:r>
      <w:r>
        <w:rPr>
          <w:rFonts w:hint="eastAsia" w:ascii="仿宋_GB2312" w:hAnsi="仿宋_GB2312" w:eastAsia="仿宋_GB2312" w:cs="仿宋_GB2312"/>
          <w:sz w:val="32"/>
          <w:szCs w:val="32"/>
          <w:lang w:val="en-US" w:eastAsia="zh-CN"/>
        </w:rPr>
        <w:t>标准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进一步明确考核得分依据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持续推进</w:t>
      </w:r>
      <w:r>
        <w:rPr>
          <w:rFonts w:hint="eastAsia" w:ascii="仿宋_GB2312" w:hAnsi="仿宋_GB2312" w:eastAsia="仿宋_GB2312" w:cs="仿宋_GB2312"/>
          <w:sz w:val="32"/>
          <w:szCs w:val="32"/>
        </w:rPr>
        <w:t>政府信息公开社会评议制度，</w:t>
      </w:r>
      <w:r>
        <w:rPr>
          <w:rFonts w:hint="eastAsia" w:ascii="仿宋_GB2312" w:hAnsi="仿宋_GB2312" w:eastAsia="仿宋_GB2312" w:cs="仿宋_GB2312"/>
          <w:sz w:val="32"/>
          <w:szCs w:val="32"/>
          <w:lang w:val="en-US" w:eastAsia="zh-CN"/>
        </w:rPr>
        <w:t>开展</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年度政务公开工作社会评议调查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期间共收到有效反馈信息</w:t>
      </w:r>
      <w:r>
        <w:rPr>
          <w:rFonts w:hint="eastAsia" w:ascii="仿宋_GB2312" w:hAnsi="仿宋_GB2312" w:eastAsia="仿宋_GB2312" w:cs="仿宋_GB2312"/>
          <w:sz w:val="32"/>
          <w:szCs w:val="32"/>
          <w:highlight w:val="none"/>
          <w:lang w:val="en-US" w:eastAsia="zh-CN"/>
        </w:rPr>
        <w:t>812</w:t>
      </w:r>
      <w:r>
        <w:rPr>
          <w:rFonts w:hint="eastAsia" w:ascii="仿宋_GB2312" w:hAnsi="仿宋_GB2312" w:eastAsia="仿宋_GB2312" w:cs="仿宋_GB2312"/>
          <w:sz w:val="32"/>
          <w:szCs w:val="32"/>
          <w:lang w:val="en-US" w:eastAsia="zh-CN"/>
        </w:rPr>
        <w:t>条，根据调查数据，研究形成《奉化区2022年政务公开社会评议调查报告》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不断健全完善</w:t>
      </w:r>
      <w:r>
        <w:rPr>
          <w:rFonts w:hint="eastAsia" w:ascii="仿宋_GB2312" w:hAnsi="仿宋_GB2312" w:eastAsia="仿宋_GB2312" w:cs="仿宋_GB2312"/>
          <w:sz w:val="32"/>
          <w:szCs w:val="32"/>
        </w:rPr>
        <w:t>政府信息公开责任追究制度，</w:t>
      </w:r>
      <w:r>
        <w:rPr>
          <w:rFonts w:hint="eastAsia" w:ascii="仿宋_GB2312" w:hAnsi="仿宋_GB2312" w:eastAsia="仿宋_GB2312" w:cs="仿宋_GB2312"/>
          <w:sz w:val="32"/>
          <w:szCs w:val="32"/>
          <w:lang w:val="en-US" w:eastAsia="zh-CN"/>
        </w:rPr>
        <w:t>2022年度</w:t>
      </w:r>
      <w:r>
        <w:rPr>
          <w:rFonts w:hint="eastAsia" w:ascii="仿宋_GB2312" w:hAnsi="仿宋_GB2312" w:eastAsia="仿宋_GB2312" w:cs="仿宋_GB2312"/>
          <w:sz w:val="32"/>
          <w:szCs w:val="32"/>
        </w:rPr>
        <w:t>未发生因政务公开工作被追究责任的情况。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仿宋"/>
          <w:sz w:val="32"/>
          <w:szCs w:val="32"/>
        </w:rPr>
      </w:pPr>
      <w:r>
        <w:rPr>
          <w:rFonts w:hint="eastAsia" w:ascii="黑体" w:hAnsi="黑体" w:eastAsia="黑体" w:cs="仿宋"/>
          <w:sz w:val="32"/>
          <w:szCs w:val="32"/>
        </w:rPr>
        <w:t>二、主动公开政府信息情况</w:t>
      </w:r>
    </w:p>
    <w:tbl>
      <w:tblPr>
        <w:tblStyle w:val="7"/>
        <w:tblW w:w="8140" w:type="dxa"/>
        <w:jc w:val="center"/>
        <w:tblLayout w:type="fixed"/>
        <w:tblCellMar>
          <w:top w:w="0" w:type="dxa"/>
          <w:left w:w="0" w:type="dxa"/>
          <w:bottom w:w="0" w:type="dxa"/>
          <w:right w:w="0" w:type="dxa"/>
        </w:tblCellMar>
      </w:tblPr>
      <w:tblGrid>
        <w:gridCol w:w="3113"/>
        <w:gridCol w:w="1730"/>
        <w:gridCol w:w="1416"/>
        <w:gridCol w:w="1881"/>
      </w:tblGrid>
      <w:tr>
        <w:tblPrEx>
          <w:tblCellMar>
            <w:top w:w="0" w:type="dxa"/>
            <w:left w:w="0" w:type="dxa"/>
            <w:bottom w:w="0" w:type="dxa"/>
            <w:right w:w="0" w:type="dxa"/>
          </w:tblCellMar>
        </w:tblPrEx>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color w:val="000000"/>
                <w:kern w:val="0"/>
                <w:sz w:val="20"/>
                <w:szCs w:val="20"/>
                <w:lang w:bidi="ar"/>
              </w:rPr>
              <w:t>第二十条第（一）项</w:t>
            </w:r>
          </w:p>
        </w:tc>
      </w:tr>
      <w:tr>
        <w:tblPrEx>
          <w:tblCellMar>
            <w:top w:w="0" w:type="dxa"/>
            <w:left w:w="0" w:type="dxa"/>
            <w:bottom w:w="0" w:type="dxa"/>
            <w:right w:w="0" w:type="dxa"/>
          </w:tblCellMar>
        </w:tblPrEx>
        <w:trPr>
          <w:trHeight w:val="612"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color w:val="000000"/>
                <w:kern w:val="0"/>
                <w:sz w:val="20"/>
                <w:szCs w:val="20"/>
                <w:lang w:bidi="ar"/>
              </w:rPr>
              <w:t>信息内容</w:t>
            </w:r>
          </w:p>
        </w:tc>
        <w:tc>
          <w:tcPr>
            <w:tcW w:w="1730" w:type="dxa"/>
            <w:tcBorders>
              <w:top w:val="single" w:color="auto" w:sz="8" w:space="0"/>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color w:val="000000"/>
                <w:kern w:val="0"/>
                <w:sz w:val="20"/>
                <w:szCs w:val="20"/>
                <w:lang w:bidi="ar"/>
              </w:rPr>
              <w:t>本年</w:t>
            </w:r>
            <w:r>
              <w:rPr>
                <w:rFonts w:hint="eastAsia" w:ascii="宋体" w:hAnsi="宋体" w:cs="宋体"/>
                <w:color w:val="000000"/>
                <w:kern w:val="0"/>
                <w:sz w:val="20"/>
                <w:szCs w:val="20"/>
                <w:lang w:bidi="ar"/>
              </w:rPr>
              <w:t>制发件数</w:t>
            </w:r>
          </w:p>
        </w:tc>
        <w:tc>
          <w:tcPr>
            <w:tcW w:w="1416"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color w:val="000000"/>
                <w:kern w:val="0"/>
                <w:sz w:val="20"/>
                <w:szCs w:val="20"/>
                <w:lang w:bidi="ar"/>
              </w:rPr>
              <w:t>本年</w:t>
            </w:r>
            <w:r>
              <w:rPr>
                <w:rFonts w:hint="eastAsia" w:ascii="宋体" w:hAnsi="宋体" w:cs="宋体"/>
                <w:color w:val="000000"/>
                <w:kern w:val="0"/>
                <w:sz w:val="20"/>
                <w:szCs w:val="20"/>
                <w:lang w:bidi="ar"/>
              </w:rPr>
              <w:t>废止件数</w:t>
            </w:r>
          </w:p>
        </w:tc>
        <w:tc>
          <w:tcPr>
            <w:tcW w:w="1881" w:type="dxa"/>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eastAsia="宋体"/>
              </w:rPr>
            </w:pPr>
            <w:r>
              <w:rPr>
                <w:rFonts w:hint="eastAsia"/>
              </w:rPr>
              <w:t>现行有效件数</w:t>
            </w:r>
          </w:p>
        </w:tc>
      </w:tr>
      <w:tr>
        <w:tblPrEx>
          <w:tblCellMar>
            <w:top w:w="0" w:type="dxa"/>
            <w:left w:w="0" w:type="dxa"/>
            <w:bottom w:w="0" w:type="dxa"/>
            <w:right w:w="0" w:type="dxa"/>
          </w:tblCellMar>
        </w:tblPrEx>
        <w:trPr>
          <w:trHeight w:val="478"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pPr>
            <w:r>
              <w:rPr>
                <w:rFonts w:hint="eastAsia" w:ascii="宋体" w:hAnsi="宋体" w:eastAsia="宋体" w:cs="宋体"/>
                <w:color w:val="000000"/>
                <w:kern w:val="0"/>
                <w:sz w:val="20"/>
                <w:szCs w:val="20"/>
                <w:lang w:bidi="ar"/>
              </w:rPr>
              <w:t>规章</w:t>
            </w:r>
          </w:p>
        </w:tc>
        <w:tc>
          <w:tcPr>
            <w:tcW w:w="1730" w:type="dxa"/>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Theme="minorEastAsia"/>
                <w:lang w:val="en-US" w:eastAsia="zh-CN"/>
              </w:rPr>
            </w:pPr>
            <w:r>
              <w:rPr>
                <w:rFonts w:hint="eastAsia"/>
                <w:lang w:val="en-US" w:eastAsia="zh-CN"/>
              </w:rPr>
              <w:t>0</w:t>
            </w:r>
          </w:p>
        </w:tc>
        <w:tc>
          <w:tcPr>
            <w:tcW w:w="141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Theme="minorEastAsia"/>
                <w:lang w:val="en-US" w:eastAsia="zh-CN"/>
              </w:rPr>
            </w:pPr>
            <w:r>
              <w:rPr>
                <w:rFonts w:hint="eastAsia"/>
                <w:lang w:val="en-US" w:eastAsia="zh-CN"/>
              </w:rPr>
              <w:t>0</w:t>
            </w:r>
          </w:p>
        </w:tc>
        <w:tc>
          <w:tcPr>
            <w:tcW w:w="1881" w:type="dxa"/>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432"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pPr>
            <w:r>
              <w:rPr>
                <w:rFonts w:hint="eastAsia" w:ascii="宋体" w:hAnsi="宋体" w:cs="宋体"/>
                <w:color w:val="000000"/>
                <w:kern w:val="0"/>
                <w:sz w:val="20"/>
                <w:szCs w:val="20"/>
                <w:lang w:bidi="ar"/>
              </w:rPr>
              <w:t>行政</w:t>
            </w:r>
            <w:r>
              <w:rPr>
                <w:rFonts w:hint="eastAsia" w:ascii="宋体" w:hAnsi="宋体" w:eastAsia="宋体" w:cs="宋体"/>
                <w:color w:val="000000"/>
                <w:kern w:val="0"/>
                <w:sz w:val="20"/>
                <w:szCs w:val="20"/>
                <w:lang w:bidi="ar"/>
              </w:rPr>
              <w:t>规范性文件</w:t>
            </w:r>
          </w:p>
        </w:tc>
        <w:tc>
          <w:tcPr>
            <w:tcW w:w="1730" w:type="dxa"/>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Theme="minorEastAsia"/>
                <w:lang w:val="en-US" w:eastAsia="zh-CN"/>
              </w:rPr>
            </w:pPr>
            <w:r>
              <w:rPr>
                <w:rFonts w:hint="eastAsia"/>
                <w:lang w:val="en-US" w:eastAsia="zh-CN"/>
              </w:rPr>
              <w:t>7</w:t>
            </w:r>
          </w:p>
        </w:tc>
        <w:tc>
          <w:tcPr>
            <w:tcW w:w="141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Theme="minorEastAsia"/>
                <w:lang w:val="en-US" w:eastAsia="zh-CN"/>
              </w:rPr>
            </w:pPr>
            <w:r>
              <w:rPr>
                <w:rFonts w:hint="eastAsia"/>
                <w:lang w:val="en-US" w:eastAsia="zh-CN"/>
              </w:rPr>
              <w:t>0</w:t>
            </w:r>
          </w:p>
        </w:tc>
        <w:tc>
          <w:tcPr>
            <w:tcW w:w="1881" w:type="dxa"/>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eastAsiaTheme="minorEastAsia"/>
                <w:lang w:val="en-US" w:eastAsia="zh-CN"/>
              </w:rPr>
            </w:pPr>
            <w:r>
              <w:rPr>
                <w:rFonts w:hint="eastAsia"/>
                <w:lang w:val="en-US" w:eastAsia="zh-CN"/>
              </w:rPr>
              <w:t>162</w:t>
            </w:r>
          </w:p>
        </w:tc>
      </w:tr>
      <w:tr>
        <w:tblPrEx>
          <w:tblCellMar>
            <w:top w:w="0" w:type="dxa"/>
            <w:left w:w="0" w:type="dxa"/>
            <w:bottom w:w="0" w:type="dxa"/>
            <w:right w:w="0"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color w:val="000000"/>
                <w:kern w:val="0"/>
                <w:sz w:val="20"/>
                <w:szCs w:val="20"/>
                <w:lang w:bidi="ar"/>
              </w:rPr>
              <w:t>第二十条第（五）项</w:t>
            </w:r>
          </w:p>
        </w:tc>
      </w:tr>
      <w:tr>
        <w:tblPrEx>
          <w:tblCellMar>
            <w:top w:w="0" w:type="dxa"/>
            <w:left w:w="0" w:type="dxa"/>
            <w:bottom w:w="0" w:type="dxa"/>
            <w:right w:w="0" w:type="dxa"/>
          </w:tblCellMar>
        </w:tblPrEx>
        <w:trPr>
          <w:trHeight w:val="514"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color w:val="000000"/>
                <w:kern w:val="0"/>
                <w:sz w:val="20"/>
                <w:szCs w:val="20"/>
                <w:lang w:bidi="ar"/>
              </w:rPr>
              <w:t>信息内容</w:t>
            </w:r>
          </w:p>
        </w:tc>
        <w:tc>
          <w:tcPr>
            <w:tcW w:w="5027" w:type="dxa"/>
            <w:gridSpan w:val="3"/>
            <w:tcBorders>
              <w:top w:val="single" w:color="auto" w:sz="8" w:space="0"/>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cs="宋体"/>
                <w:color w:val="000000"/>
                <w:kern w:val="0"/>
                <w:sz w:val="20"/>
                <w:szCs w:val="20"/>
                <w:lang w:bidi="ar"/>
              </w:rPr>
              <w:t>本年</w:t>
            </w:r>
            <w:r>
              <w:rPr>
                <w:rFonts w:hint="eastAsia" w:ascii="宋体" w:hAnsi="宋体" w:eastAsia="宋体" w:cs="宋体"/>
                <w:color w:val="000000"/>
                <w:kern w:val="0"/>
                <w:sz w:val="20"/>
                <w:szCs w:val="20"/>
                <w:lang w:bidi="ar"/>
              </w:rPr>
              <w:t>处理决定数量</w:t>
            </w:r>
          </w:p>
        </w:tc>
      </w:tr>
      <w:tr>
        <w:tblPrEx>
          <w:tblCellMar>
            <w:top w:w="0" w:type="dxa"/>
            <w:left w:w="0" w:type="dxa"/>
            <w:bottom w:w="0" w:type="dxa"/>
            <w:right w:w="0" w:type="dxa"/>
          </w:tblCellMar>
        </w:tblPrEx>
        <w:trPr>
          <w:trHeight w:val="90"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pPr>
            <w:r>
              <w:rPr>
                <w:rFonts w:hint="eastAsia" w:ascii="宋体" w:hAnsi="宋体" w:eastAsia="宋体" w:cs="宋体"/>
                <w:color w:val="000000"/>
                <w:kern w:val="0"/>
                <w:sz w:val="20"/>
                <w:szCs w:val="20"/>
                <w:lang w:bidi="ar"/>
              </w:rPr>
              <w:t>行政许可</w:t>
            </w:r>
          </w:p>
        </w:tc>
        <w:tc>
          <w:tcPr>
            <w:tcW w:w="5027" w:type="dxa"/>
            <w:gridSpan w:val="3"/>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72"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color w:val="000000"/>
                <w:kern w:val="0"/>
                <w:sz w:val="20"/>
                <w:szCs w:val="20"/>
                <w:lang w:bidi="ar"/>
              </w:rPr>
              <w:t>第二十条第（六）项</w:t>
            </w:r>
          </w:p>
        </w:tc>
      </w:tr>
      <w:tr>
        <w:tblPrEx>
          <w:tblCellMar>
            <w:top w:w="0" w:type="dxa"/>
            <w:left w:w="0" w:type="dxa"/>
            <w:bottom w:w="0" w:type="dxa"/>
            <w:right w:w="0" w:type="dxa"/>
          </w:tblCellMar>
        </w:tblPrEx>
        <w:trPr>
          <w:trHeight w:val="544"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color w:val="000000"/>
                <w:kern w:val="0"/>
                <w:sz w:val="20"/>
                <w:szCs w:val="20"/>
                <w:lang w:bidi="ar"/>
              </w:rPr>
              <w:t>信息内容</w:t>
            </w:r>
          </w:p>
        </w:tc>
        <w:tc>
          <w:tcPr>
            <w:tcW w:w="5027" w:type="dxa"/>
            <w:gridSpan w:val="3"/>
            <w:tcBorders>
              <w:top w:val="single" w:color="auto" w:sz="8" w:space="0"/>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cs="宋体"/>
                <w:color w:val="000000"/>
                <w:kern w:val="0"/>
                <w:sz w:val="20"/>
                <w:szCs w:val="20"/>
                <w:lang w:bidi="ar"/>
              </w:rPr>
              <w:t>本年</w:t>
            </w:r>
            <w:r>
              <w:rPr>
                <w:rFonts w:hint="eastAsia" w:ascii="宋体" w:hAnsi="宋体" w:eastAsia="宋体" w:cs="宋体"/>
                <w:color w:val="000000"/>
                <w:kern w:val="0"/>
                <w:sz w:val="20"/>
                <w:szCs w:val="20"/>
                <w:lang w:bidi="ar"/>
              </w:rPr>
              <w:t>处理决定数量</w:t>
            </w:r>
          </w:p>
        </w:tc>
      </w:tr>
      <w:tr>
        <w:tblPrEx>
          <w:tblCellMar>
            <w:top w:w="0" w:type="dxa"/>
            <w:left w:w="0" w:type="dxa"/>
            <w:bottom w:w="0" w:type="dxa"/>
            <w:right w:w="0" w:type="dxa"/>
          </w:tblCellMar>
        </w:tblPrEx>
        <w:trPr>
          <w:trHeight w:val="474"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pPr>
            <w:r>
              <w:rPr>
                <w:rFonts w:hint="eastAsia" w:ascii="宋体" w:hAnsi="宋体" w:eastAsia="宋体" w:cs="宋体"/>
                <w:color w:val="000000"/>
                <w:kern w:val="0"/>
                <w:sz w:val="20"/>
                <w:szCs w:val="20"/>
                <w:lang w:bidi="ar"/>
              </w:rPr>
              <w:t>行政处罚</w:t>
            </w:r>
          </w:p>
        </w:tc>
        <w:tc>
          <w:tcPr>
            <w:tcW w:w="5027" w:type="dxa"/>
            <w:gridSpan w:val="3"/>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pPr>
            <w:r>
              <w:rPr>
                <w:rFonts w:hint="eastAsia" w:ascii="宋体" w:hAnsi="宋体" w:eastAsia="宋体" w:cs="宋体"/>
                <w:color w:val="000000"/>
                <w:kern w:val="0"/>
                <w:sz w:val="20"/>
                <w:szCs w:val="20"/>
                <w:lang w:bidi="ar"/>
              </w:rPr>
              <w:t>行政强制</w:t>
            </w:r>
          </w:p>
        </w:tc>
        <w:tc>
          <w:tcPr>
            <w:tcW w:w="5027" w:type="dxa"/>
            <w:gridSpan w:val="3"/>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474"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color w:val="000000"/>
                <w:kern w:val="0"/>
                <w:sz w:val="20"/>
                <w:szCs w:val="20"/>
                <w:lang w:bidi="ar"/>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color w:val="000000"/>
                <w:kern w:val="0"/>
                <w:sz w:val="20"/>
                <w:szCs w:val="20"/>
                <w:lang w:bidi="ar"/>
              </w:rPr>
              <w:t>信息内容</w:t>
            </w:r>
          </w:p>
        </w:tc>
        <w:tc>
          <w:tcPr>
            <w:tcW w:w="5027" w:type="dxa"/>
            <w:gridSpan w:val="3"/>
            <w:tcBorders>
              <w:top w:val="nil"/>
              <w:left w:val="nil"/>
              <w:bottom w:val="single" w:color="auto" w:sz="8" w:space="0"/>
              <w:right w:val="single" w:color="000000" w:sz="8" w:space="0"/>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color w:val="000000"/>
                <w:sz w:val="20"/>
                <w:szCs w:val="20"/>
                <w:shd w:val="clear" w:color="auto" w:fill="FFFFFF"/>
              </w:rPr>
              <w:t>本年收费金额（单位：万元）</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pPr>
            <w:r>
              <w:rPr>
                <w:rFonts w:hint="eastAsia" w:ascii="宋体" w:hAnsi="宋体" w:eastAsia="宋体" w:cs="宋体"/>
                <w:color w:val="000000"/>
                <w:kern w:val="0"/>
                <w:sz w:val="20"/>
                <w:szCs w:val="20"/>
                <w:lang w:bidi="ar"/>
              </w:rPr>
              <w:t>行政事业性收费</w:t>
            </w:r>
          </w:p>
        </w:tc>
        <w:tc>
          <w:tcPr>
            <w:tcW w:w="5027" w:type="dxa"/>
            <w:gridSpan w:val="3"/>
            <w:tcBorders>
              <w:top w:val="nil"/>
              <w:left w:val="nil"/>
              <w:bottom w:val="single" w:color="auto" w:sz="8" w:space="0"/>
              <w:right w:val="single" w:color="000000" w:sz="8" w:space="0"/>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Theme="minorEastAsia"/>
                <w:lang w:val="en-US" w:eastAsia="zh-CN"/>
              </w:rPr>
            </w:pPr>
            <w:r>
              <w:rPr>
                <w:rFonts w:hint="eastAsia"/>
                <w:lang w:val="en-US" w:eastAsia="zh-CN"/>
              </w:rPr>
              <w:t>0</w:t>
            </w:r>
          </w:p>
        </w:tc>
      </w:tr>
    </w:tbl>
    <w:p>
      <w:pPr>
        <w:pStyle w:val="2"/>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仿宋"/>
          <w:sz w:val="32"/>
          <w:szCs w:val="32"/>
        </w:rPr>
      </w:pPr>
      <w:r>
        <w:rPr>
          <w:rFonts w:hint="eastAsia" w:ascii="黑体" w:hAnsi="黑体" w:eastAsia="黑体" w:cs="仿宋"/>
          <w:sz w:val="32"/>
          <w:szCs w:val="32"/>
        </w:rPr>
        <w:t>三、收到和处理政府信息公开申请情况</w:t>
      </w:r>
    </w:p>
    <w:tbl>
      <w:tblPr>
        <w:tblStyle w:val="7"/>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16"/>
        <w:gridCol w:w="854"/>
        <w:gridCol w:w="2086"/>
        <w:gridCol w:w="813"/>
        <w:gridCol w:w="755"/>
        <w:gridCol w:w="755"/>
        <w:gridCol w:w="813"/>
        <w:gridCol w:w="973"/>
        <w:gridCol w:w="711"/>
        <w:gridCol w:w="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ascii="宋体" w:hAnsi="宋体" w:eastAsia="宋体" w:cs="宋体"/>
                <w:sz w:val="20"/>
                <w:szCs w:val="20"/>
              </w:rPr>
            </w:pPr>
            <w:r>
              <w:rPr>
                <w:rFonts w:hint="eastAsia" w:ascii="宋体" w:hAnsi="宋体" w:eastAsia="宋体" w:cs="宋体"/>
                <w:kern w:val="0"/>
                <w:sz w:val="20"/>
                <w:szCs w:val="20"/>
                <w:lang w:bidi="ar"/>
              </w:rPr>
              <w:t>（本列数据的勾稽关系为：第一项加第二项之和，等于第三项加第四项之和）</w:t>
            </w:r>
          </w:p>
        </w:tc>
        <w:tc>
          <w:tcPr>
            <w:tcW w:w="5515" w:type="dxa"/>
            <w:gridSpan w:val="7"/>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ascii="宋体" w:hAnsi="宋体" w:eastAsia="宋体" w:cs="宋体"/>
                <w:sz w:val="20"/>
                <w:szCs w:val="20"/>
              </w:rPr>
            </w:pPr>
            <w:r>
              <w:rPr>
                <w:rFonts w:hint="eastAsia" w:ascii="宋体" w:hAnsi="宋体" w:eastAsia="宋体" w:cs="宋体"/>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813"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ascii="宋体" w:hAnsi="宋体" w:eastAsia="宋体" w:cs="宋体"/>
                <w:sz w:val="20"/>
                <w:szCs w:val="20"/>
              </w:rPr>
            </w:pPr>
            <w:r>
              <w:rPr>
                <w:rFonts w:hint="eastAsia" w:ascii="宋体" w:hAnsi="宋体" w:eastAsia="宋体" w:cs="宋体"/>
                <w:kern w:val="0"/>
                <w:sz w:val="20"/>
                <w:szCs w:val="20"/>
                <w:lang w:bidi="ar"/>
              </w:rPr>
              <w:t>自然人</w:t>
            </w:r>
          </w:p>
        </w:tc>
        <w:tc>
          <w:tcPr>
            <w:tcW w:w="4007" w:type="dxa"/>
            <w:gridSpan w:val="5"/>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ascii="宋体" w:hAnsi="宋体" w:eastAsia="宋体" w:cs="宋体"/>
                <w:sz w:val="20"/>
                <w:szCs w:val="20"/>
              </w:rPr>
            </w:pPr>
            <w:r>
              <w:rPr>
                <w:rFonts w:hint="eastAsia" w:ascii="宋体" w:hAnsi="宋体" w:eastAsia="宋体" w:cs="宋体"/>
                <w:kern w:val="0"/>
                <w:sz w:val="20"/>
                <w:szCs w:val="20"/>
                <w:lang w:bidi="ar"/>
              </w:rPr>
              <w:t>法人或其他组织</w:t>
            </w:r>
          </w:p>
        </w:tc>
        <w:tc>
          <w:tcPr>
            <w:tcW w:w="695"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ascii="宋体" w:hAnsi="宋体" w:eastAsia="宋体" w:cs="宋体"/>
                <w:sz w:val="20"/>
                <w:szCs w:val="20"/>
              </w:rPr>
            </w:pPr>
            <w:r>
              <w:rPr>
                <w:rFonts w:hint="eastAsia" w:ascii="宋体" w:hAnsi="宋体" w:eastAsia="宋体" w:cs="宋体"/>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813"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ascii="宋体" w:hAnsi="宋体" w:eastAsia="宋体" w:cs="宋体"/>
                <w:sz w:val="20"/>
                <w:szCs w:val="20"/>
              </w:rPr>
            </w:pPr>
            <w:r>
              <w:rPr>
                <w:rFonts w:hint="eastAsia" w:ascii="宋体" w:hAnsi="宋体" w:eastAsia="宋体" w:cs="宋体"/>
                <w:kern w:val="0"/>
                <w:sz w:val="20"/>
                <w:szCs w:val="20"/>
                <w:lang w:bidi="ar"/>
              </w:rPr>
              <w:t>商业企业</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ascii="宋体" w:hAnsi="宋体" w:eastAsia="宋体" w:cs="宋体"/>
                <w:sz w:val="20"/>
                <w:szCs w:val="20"/>
              </w:rPr>
            </w:pPr>
            <w:r>
              <w:rPr>
                <w:rFonts w:hint="eastAsia" w:ascii="宋体" w:hAnsi="宋体" w:eastAsia="宋体" w:cs="宋体"/>
                <w:kern w:val="0"/>
                <w:sz w:val="20"/>
                <w:szCs w:val="20"/>
                <w:lang w:bidi="ar"/>
              </w:rPr>
              <w:t>科研机构</w:t>
            </w:r>
          </w:p>
        </w:tc>
        <w:tc>
          <w:tcPr>
            <w:tcW w:w="813"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ascii="宋体" w:hAnsi="宋体" w:eastAsia="宋体" w:cs="宋体"/>
                <w:sz w:val="20"/>
                <w:szCs w:val="20"/>
              </w:rPr>
            </w:pPr>
            <w:r>
              <w:rPr>
                <w:rFonts w:hint="eastAsia" w:ascii="宋体" w:hAnsi="宋体" w:eastAsia="宋体" w:cs="宋体"/>
                <w:kern w:val="0"/>
                <w:sz w:val="20"/>
                <w:szCs w:val="20"/>
                <w:lang w:bidi="ar"/>
              </w:rPr>
              <w:t>社会公益组织</w:t>
            </w:r>
          </w:p>
        </w:tc>
        <w:tc>
          <w:tcPr>
            <w:tcW w:w="973"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ascii="宋体" w:hAnsi="宋体" w:eastAsia="宋体" w:cs="宋体"/>
                <w:sz w:val="20"/>
                <w:szCs w:val="20"/>
              </w:rPr>
            </w:pPr>
            <w:r>
              <w:rPr>
                <w:rFonts w:hint="eastAsia" w:ascii="宋体" w:hAnsi="宋体" w:eastAsia="宋体" w:cs="宋体"/>
                <w:kern w:val="0"/>
                <w:sz w:val="20"/>
                <w:szCs w:val="20"/>
                <w:lang w:bidi="ar"/>
              </w:rPr>
              <w:t>法律服务机构</w:t>
            </w:r>
          </w:p>
        </w:tc>
        <w:tc>
          <w:tcPr>
            <w:tcW w:w="711"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ascii="宋体" w:hAnsi="宋体" w:eastAsia="宋体" w:cs="宋体"/>
                <w:sz w:val="20"/>
                <w:szCs w:val="20"/>
              </w:rPr>
            </w:pPr>
            <w:r>
              <w:rPr>
                <w:rFonts w:hint="eastAsia" w:ascii="宋体" w:hAnsi="宋体" w:eastAsia="宋体" w:cs="宋体"/>
                <w:kern w:val="0"/>
                <w:sz w:val="20"/>
                <w:szCs w:val="20"/>
                <w:lang w:bidi="ar"/>
              </w:rPr>
              <w:t>其他</w:t>
            </w:r>
          </w:p>
        </w:tc>
        <w:tc>
          <w:tcPr>
            <w:tcW w:w="695"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sz w:val="20"/>
                <w:szCs w:val="20"/>
              </w:rPr>
            </w:pPr>
            <w:r>
              <w:rPr>
                <w:rFonts w:hint="eastAsia" w:ascii="宋体" w:hAnsi="宋体" w:eastAsia="宋体" w:cs="宋体"/>
                <w:kern w:val="0"/>
                <w:sz w:val="20"/>
                <w:szCs w:val="20"/>
                <w:lang w:bidi="ar"/>
              </w:rPr>
              <w:t>一、本年新收政府信息公开申请数量</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73</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5</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78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sz w:val="20"/>
                <w:szCs w:val="20"/>
              </w:rPr>
            </w:pPr>
            <w:r>
              <w:rPr>
                <w:rFonts w:hint="eastAsia" w:ascii="宋体" w:hAnsi="宋体" w:eastAsia="宋体" w:cs="宋体"/>
                <w:kern w:val="0"/>
                <w:sz w:val="20"/>
                <w:szCs w:val="20"/>
                <w:lang w:bidi="ar"/>
              </w:rPr>
              <w:t>二、上年结转政府信息公开申请数量</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ascii="宋体" w:hAnsi="宋体" w:eastAsia="宋体" w:cs="宋体"/>
                <w:sz w:val="20"/>
                <w:szCs w:val="20"/>
              </w:rPr>
            </w:pPr>
            <w:r>
              <w:rPr>
                <w:rFonts w:hint="eastAsia" w:ascii="宋体" w:hAnsi="宋体" w:eastAsia="宋体" w:cs="宋体"/>
                <w:kern w:val="0"/>
                <w:sz w:val="20"/>
                <w:szCs w:val="20"/>
                <w:lang w:bidi="ar"/>
              </w:rPr>
              <w:t>三、本年度办理结果</w:t>
            </w: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sz w:val="20"/>
                <w:szCs w:val="20"/>
              </w:rPr>
            </w:pPr>
            <w:r>
              <w:rPr>
                <w:rFonts w:hint="eastAsia" w:ascii="宋体" w:hAnsi="宋体" w:eastAsia="宋体" w:cs="宋体"/>
                <w:kern w:val="0"/>
                <w:sz w:val="20"/>
                <w:szCs w:val="20"/>
                <w:lang w:bidi="ar"/>
              </w:rPr>
              <w:t>（一）予以公开</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23</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69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24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sz w:val="20"/>
                <w:szCs w:val="20"/>
              </w:rPr>
            </w:pPr>
            <w:r>
              <w:rPr>
                <w:rFonts w:hint="eastAsia" w:ascii="宋体" w:hAnsi="宋体" w:eastAsia="宋体" w:cs="宋体"/>
                <w:kern w:val="0"/>
                <w:sz w:val="20"/>
                <w:szCs w:val="20"/>
                <w:lang w:bidi="ar"/>
              </w:rPr>
              <w:t>（二）部分公开（区分处理的，只计这一情形，不计其他情形）</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13</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sz w:val="20"/>
                <w:szCs w:val="20"/>
              </w:rPr>
            </w:pPr>
            <w:r>
              <w:rPr>
                <w:rFonts w:hint="eastAsia" w:ascii="宋体" w:hAnsi="宋体" w:eastAsia="宋体" w:cs="宋体"/>
                <w:kern w:val="0"/>
                <w:sz w:val="20"/>
                <w:szCs w:val="20"/>
                <w:lang w:bidi="ar"/>
              </w:rPr>
              <w:t>（三）不予公开</w:t>
            </w: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sz w:val="20"/>
                <w:szCs w:val="20"/>
              </w:rPr>
            </w:pPr>
            <w:r>
              <w:rPr>
                <w:rFonts w:hint="eastAsia" w:ascii="宋体" w:hAnsi="宋体" w:eastAsia="宋体" w:cs="宋体"/>
                <w:kern w:val="0"/>
                <w:sz w:val="20"/>
                <w:szCs w:val="20"/>
                <w:lang w:bidi="ar"/>
              </w:rPr>
              <w:t>1.属于国家秘密</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69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sz w:val="20"/>
                <w:szCs w:val="20"/>
              </w:rPr>
            </w:pPr>
            <w:r>
              <w:rPr>
                <w:rFonts w:hint="eastAsia" w:ascii="宋体" w:hAnsi="宋体" w:eastAsia="宋体" w:cs="宋体"/>
                <w:kern w:val="0"/>
                <w:sz w:val="20"/>
                <w:szCs w:val="20"/>
                <w:lang w:bidi="ar"/>
              </w:rPr>
              <w:t>2.其他法律行政法规禁止公开</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sz w:val="20"/>
                <w:szCs w:val="20"/>
              </w:rPr>
            </w:pPr>
            <w:r>
              <w:rPr>
                <w:rFonts w:hint="eastAsia" w:ascii="宋体" w:hAnsi="宋体" w:eastAsia="宋体" w:cs="宋体"/>
                <w:kern w:val="0"/>
                <w:sz w:val="20"/>
                <w:szCs w:val="20"/>
                <w:lang w:bidi="ar"/>
              </w:rPr>
              <w:t>3.危及“三安全一稳定”</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sz w:val="20"/>
                <w:szCs w:val="20"/>
              </w:rPr>
            </w:pPr>
            <w:r>
              <w:rPr>
                <w:rFonts w:hint="eastAsia" w:ascii="宋体" w:hAnsi="宋体" w:eastAsia="宋体" w:cs="宋体"/>
                <w:kern w:val="0"/>
                <w:sz w:val="20"/>
                <w:szCs w:val="20"/>
                <w:lang w:bidi="ar"/>
              </w:rPr>
              <w:t>4.保护第三方合法权益</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sz w:val="20"/>
                <w:szCs w:val="20"/>
              </w:rPr>
            </w:pPr>
            <w:r>
              <w:rPr>
                <w:rFonts w:hint="eastAsia" w:ascii="宋体" w:hAnsi="宋体" w:eastAsia="宋体" w:cs="宋体"/>
                <w:kern w:val="0"/>
                <w:sz w:val="20"/>
                <w:szCs w:val="20"/>
                <w:lang w:bidi="ar"/>
              </w:rPr>
              <w:t>5.属于三类内部事务信息</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sz w:val="20"/>
                <w:szCs w:val="20"/>
              </w:rPr>
            </w:pPr>
            <w:r>
              <w:rPr>
                <w:rFonts w:hint="eastAsia" w:ascii="宋体" w:hAnsi="宋体" w:eastAsia="宋体" w:cs="宋体"/>
                <w:kern w:val="0"/>
                <w:sz w:val="20"/>
                <w:szCs w:val="20"/>
                <w:lang w:bidi="ar"/>
              </w:rPr>
              <w:t>6.属于四类过程性信息</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sz w:val="20"/>
                <w:szCs w:val="20"/>
              </w:rPr>
            </w:pPr>
            <w:r>
              <w:rPr>
                <w:rFonts w:hint="eastAsia" w:ascii="宋体" w:hAnsi="宋体" w:eastAsia="宋体" w:cs="宋体"/>
                <w:kern w:val="0"/>
                <w:sz w:val="20"/>
                <w:szCs w:val="20"/>
                <w:lang w:bidi="ar"/>
              </w:rPr>
              <w:t>7.属于行政执法案卷</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sz w:val="20"/>
                <w:szCs w:val="20"/>
              </w:rPr>
            </w:pPr>
            <w:r>
              <w:rPr>
                <w:rFonts w:hint="eastAsia" w:ascii="宋体" w:hAnsi="宋体" w:eastAsia="宋体" w:cs="宋体"/>
                <w:kern w:val="0"/>
                <w:sz w:val="20"/>
                <w:szCs w:val="20"/>
                <w:lang w:bidi="ar"/>
              </w:rPr>
              <w:t>8.属于行政查询事项</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sz w:val="20"/>
                <w:szCs w:val="20"/>
              </w:rPr>
            </w:pPr>
            <w:r>
              <w:rPr>
                <w:rFonts w:hint="eastAsia" w:ascii="宋体" w:hAnsi="宋体" w:eastAsia="宋体" w:cs="宋体"/>
                <w:kern w:val="0"/>
                <w:sz w:val="20"/>
                <w:szCs w:val="20"/>
                <w:lang w:bidi="ar"/>
              </w:rPr>
              <w:t>（四）无法提供</w:t>
            </w: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sz w:val="20"/>
                <w:szCs w:val="20"/>
              </w:rPr>
            </w:pPr>
            <w:r>
              <w:rPr>
                <w:rFonts w:hint="eastAsia" w:ascii="宋体" w:hAnsi="宋体" w:eastAsia="宋体" w:cs="宋体"/>
                <w:kern w:val="0"/>
                <w:sz w:val="20"/>
                <w:szCs w:val="20"/>
                <w:lang w:bidi="ar"/>
              </w:rPr>
              <w:t>1.本机关不掌握相关政府信息</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2</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sz w:val="20"/>
                <w:szCs w:val="20"/>
              </w:rPr>
            </w:pPr>
            <w:r>
              <w:rPr>
                <w:rFonts w:hint="eastAsia" w:ascii="宋体" w:hAnsi="宋体" w:eastAsia="宋体" w:cs="宋体"/>
                <w:kern w:val="0"/>
                <w:sz w:val="20"/>
                <w:szCs w:val="20"/>
                <w:lang w:bidi="ar"/>
              </w:rPr>
              <w:t>2.没有现成信息需要另行制作</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sz w:val="20"/>
                <w:szCs w:val="20"/>
              </w:rPr>
            </w:pPr>
            <w:r>
              <w:rPr>
                <w:rFonts w:hint="eastAsia" w:ascii="宋体" w:hAnsi="宋体" w:eastAsia="宋体" w:cs="宋体"/>
                <w:kern w:val="0"/>
                <w:sz w:val="20"/>
                <w:szCs w:val="20"/>
                <w:lang w:bidi="ar"/>
              </w:rPr>
              <w:t>3.补正后申请内容仍不明确</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sz w:val="20"/>
                <w:szCs w:val="20"/>
              </w:rPr>
            </w:pPr>
            <w:r>
              <w:rPr>
                <w:rFonts w:hint="eastAsia" w:ascii="宋体" w:hAnsi="宋体" w:eastAsia="宋体" w:cs="宋体"/>
                <w:kern w:val="0"/>
                <w:sz w:val="20"/>
                <w:szCs w:val="20"/>
                <w:lang w:bidi="ar"/>
              </w:rPr>
              <w:t>（五）不予处理</w:t>
            </w: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sz w:val="20"/>
                <w:szCs w:val="20"/>
              </w:rPr>
            </w:pPr>
            <w:r>
              <w:rPr>
                <w:rFonts w:hint="eastAsia" w:ascii="宋体" w:hAnsi="宋体" w:eastAsia="宋体" w:cs="宋体"/>
                <w:kern w:val="0"/>
                <w:sz w:val="20"/>
                <w:szCs w:val="20"/>
                <w:lang w:bidi="ar"/>
              </w:rPr>
              <w:t>1.信访举报投诉类申请</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sz w:val="20"/>
                <w:szCs w:val="20"/>
              </w:rPr>
            </w:pPr>
            <w:r>
              <w:rPr>
                <w:rFonts w:hint="eastAsia" w:ascii="宋体" w:hAnsi="宋体" w:eastAsia="宋体" w:cs="宋体"/>
                <w:kern w:val="0"/>
                <w:sz w:val="20"/>
                <w:szCs w:val="20"/>
                <w:lang w:bidi="ar"/>
              </w:rPr>
              <w:t>2.重复申请</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sz w:val="20"/>
                <w:szCs w:val="20"/>
              </w:rPr>
            </w:pPr>
            <w:r>
              <w:rPr>
                <w:rFonts w:hint="eastAsia" w:ascii="宋体" w:hAnsi="宋体" w:eastAsia="宋体" w:cs="宋体"/>
                <w:kern w:val="0"/>
                <w:sz w:val="20"/>
                <w:szCs w:val="20"/>
                <w:lang w:bidi="ar"/>
              </w:rPr>
              <w:t>3.要求提供公开出版物</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sz w:val="20"/>
                <w:szCs w:val="20"/>
              </w:rPr>
            </w:pPr>
            <w:r>
              <w:rPr>
                <w:rFonts w:hint="eastAsia" w:ascii="宋体" w:hAnsi="宋体" w:eastAsia="宋体" w:cs="宋体"/>
                <w:kern w:val="0"/>
                <w:sz w:val="20"/>
                <w:szCs w:val="20"/>
                <w:lang w:bidi="ar"/>
              </w:rPr>
              <w:t>4.无正当理由大量反复申请</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sz w:val="20"/>
                <w:szCs w:val="20"/>
              </w:rPr>
            </w:pPr>
            <w:r>
              <w:rPr>
                <w:rFonts w:hint="eastAsia" w:ascii="宋体" w:hAnsi="宋体" w:eastAsia="宋体" w:cs="宋体"/>
                <w:kern w:val="0"/>
                <w:sz w:val="20"/>
                <w:szCs w:val="20"/>
                <w:lang w:bidi="ar"/>
              </w:rPr>
              <w:t>5.要求行政机关确认或重新出具已获取信息</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4" w:hRule="atLeast"/>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854" w:type="dxa"/>
            <w:vMerge w:val="restart"/>
            <w:tcBorders>
              <w:top w:val="nil"/>
              <w:left w:val="nil"/>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sz w:val="20"/>
                <w:szCs w:val="20"/>
              </w:rPr>
            </w:pPr>
            <w:r>
              <w:rPr>
                <w:rFonts w:hint="eastAsia" w:ascii="宋体" w:hAnsi="宋体" w:eastAsia="宋体" w:cs="宋体"/>
                <w:kern w:val="0"/>
                <w:sz w:val="20"/>
                <w:szCs w:val="20"/>
                <w:lang w:bidi="ar"/>
              </w:rPr>
              <w:t>（六）其他处理</w:t>
            </w: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kern w:val="0"/>
                <w:sz w:val="20"/>
                <w:szCs w:val="20"/>
                <w:lang w:bidi="ar"/>
              </w:rPr>
            </w:pPr>
            <w:r>
              <w:rPr>
                <w:rFonts w:hint="eastAsia" w:ascii="宋体" w:hAnsi="宋体" w:eastAsia="宋体" w:cs="宋体"/>
                <w:kern w:val="0"/>
                <w:sz w:val="20"/>
                <w:szCs w:val="20"/>
                <w:lang w:bidi="ar"/>
              </w:rPr>
              <w:t>1.申请人无正当理由逾期不补正、行政机关不再处理其政府信息公开申请</w:t>
            </w:r>
          </w:p>
        </w:tc>
        <w:tc>
          <w:tcPr>
            <w:tcW w:w="813" w:type="dxa"/>
            <w:tcBorders>
              <w:top w:val="nil"/>
              <w:left w:val="nil"/>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13</w:t>
            </w:r>
          </w:p>
        </w:tc>
        <w:tc>
          <w:tcPr>
            <w:tcW w:w="755" w:type="dxa"/>
            <w:tcBorders>
              <w:top w:val="nil"/>
              <w:left w:val="nil"/>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w:t>
            </w:r>
          </w:p>
        </w:tc>
        <w:tc>
          <w:tcPr>
            <w:tcW w:w="755" w:type="dxa"/>
            <w:tcBorders>
              <w:top w:val="nil"/>
              <w:left w:val="nil"/>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813" w:type="dxa"/>
            <w:tcBorders>
              <w:top w:val="nil"/>
              <w:left w:val="nil"/>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73" w:type="dxa"/>
            <w:tcBorders>
              <w:top w:val="nil"/>
              <w:left w:val="nil"/>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11" w:type="dxa"/>
            <w:tcBorders>
              <w:top w:val="nil"/>
              <w:left w:val="nil"/>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bookmarkStart w:id="0" w:name="_GoBack"/>
            <w:bookmarkEnd w:id="0"/>
          </w:p>
        </w:tc>
        <w:tc>
          <w:tcPr>
            <w:tcW w:w="695" w:type="dxa"/>
            <w:tcBorders>
              <w:top w:val="nil"/>
              <w:left w:val="nil"/>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4" w:hRule="atLeast"/>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pPr>
          </w:p>
        </w:tc>
        <w:tc>
          <w:tcPr>
            <w:tcW w:w="854" w:type="dxa"/>
            <w:vMerge w:val="continue"/>
            <w:tcBorders>
              <w:left w:val="nil"/>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kern w:val="0"/>
                <w:sz w:val="20"/>
                <w:szCs w:val="20"/>
                <w:lang w:bidi="ar"/>
              </w:rPr>
            </w:pPr>
            <w:r>
              <w:rPr>
                <w:rFonts w:hint="eastAsia" w:ascii="宋体" w:hAnsi="宋体" w:eastAsia="宋体" w:cs="宋体"/>
                <w:kern w:val="0"/>
                <w:sz w:val="20"/>
                <w:szCs w:val="20"/>
                <w:lang w:bidi="ar"/>
              </w:rPr>
              <w:t>2.申请人逾期未按收费通知要求缴纳费用、行政机关不再处理其政府信息公开申请</w:t>
            </w:r>
          </w:p>
        </w:tc>
        <w:tc>
          <w:tcPr>
            <w:tcW w:w="813" w:type="dxa"/>
            <w:tcBorders>
              <w:left w:val="nil"/>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left w:val="nil"/>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left w:val="nil"/>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813" w:type="dxa"/>
            <w:tcBorders>
              <w:left w:val="nil"/>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73" w:type="dxa"/>
            <w:tcBorders>
              <w:left w:val="nil"/>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11" w:type="dxa"/>
            <w:tcBorders>
              <w:left w:val="nil"/>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695" w:type="dxa"/>
            <w:tcBorders>
              <w:left w:val="nil"/>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4" w:hRule="atLeast"/>
          <w:jc w:val="center"/>
        </w:trPr>
        <w:tc>
          <w:tcPr>
            <w:tcW w:w="616" w:type="dxa"/>
            <w:vMerge w:val="continue"/>
            <w:tcBorders>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kern w:val="0"/>
                <w:sz w:val="20"/>
                <w:szCs w:val="20"/>
                <w:lang w:bidi="ar"/>
              </w:rPr>
            </w:pPr>
          </w:p>
        </w:tc>
        <w:tc>
          <w:tcPr>
            <w:tcW w:w="854" w:type="dxa"/>
            <w:vMerge w:val="continue"/>
            <w:tcBorders>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kern w:val="0"/>
                <w:sz w:val="20"/>
                <w:szCs w:val="20"/>
                <w:lang w:bidi="ar"/>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kern w:val="0"/>
                <w:sz w:val="20"/>
                <w:szCs w:val="20"/>
                <w:lang w:bidi="ar"/>
              </w:rPr>
            </w:pPr>
            <w:r>
              <w:rPr>
                <w:rFonts w:hint="eastAsia" w:ascii="宋体" w:hAnsi="宋体" w:eastAsia="宋体" w:cs="宋体"/>
                <w:kern w:val="0"/>
                <w:sz w:val="20"/>
                <w:szCs w:val="20"/>
                <w:lang w:bidi="ar"/>
              </w:rPr>
              <w:t>3.其他</w:t>
            </w:r>
          </w:p>
        </w:tc>
        <w:tc>
          <w:tcPr>
            <w:tcW w:w="813" w:type="dxa"/>
            <w:tcBorders>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55" w:type="dxa"/>
            <w:tcBorders>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813" w:type="dxa"/>
            <w:tcBorders>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73" w:type="dxa"/>
            <w:tcBorders>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11" w:type="dxa"/>
            <w:tcBorders>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695" w:type="dxa"/>
            <w:tcBorders>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宋体"/>
                <w:sz w:val="20"/>
                <w:szCs w:val="20"/>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sz w:val="20"/>
                <w:szCs w:val="20"/>
              </w:rPr>
            </w:pPr>
            <w:r>
              <w:rPr>
                <w:rFonts w:hint="eastAsia" w:ascii="宋体" w:hAnsi="宋体" w:eastAsia="宋体" w:cs="宋体"/>
                <w:kern w:val="0"/>
                <w:sz w:val="20"/>
                <w:szCs w:val="20"/>
                <w:lang w:bidi="ar"/>
              </w:rPr>
              <w:t>（七）总计</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53</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3</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56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textAlignment w:val="auto"/>
              <w:rPr>
                <w:rFonts w:ascii="宋体" w:hAnsi="宋体" w:eastAsia="宋体" w:cs="宋体"/>
                <w:sz w:val="20"/>
                <w:szCs w:val="20"/>
              </w:rPr>
            </w:pPr>
            <w:r>
              <w:rPr>
                <w:rFonts w:hint="eastAsia" w:ascii="宋体" w:hAnsi="宋体" w:eastAsia="宋体" w:cs="宋体"/>
                <w:kern w:val="0"/>
                <w:sz w:val="20"/>
                <w:szCs w:val="20"/>
                <w:lang w:bidi="ar"/>
              </w:rPr>
              <w:t>四、结转下年度继续办理</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20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2</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22</w:t>
            </w:r>
          </w:p>
        </w:tc>
      </w:tr>
    </w:tbl>
    <w:p>
      <w:pPr>
        <w:pStyle w:val="2"/>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仿宋"/>
          <w:sz w:val="32"/>
          <w:szCs w:val="32"/>
        </w:rPr>
      </w:pPr>
      <w:r>
        <w:rPr>
          <w:rFonts w:hint="eastAsia" w:ascii="黑体" w:hAnsi="黑体" w:eastAsia="黑体" w:cs="仿宋"/>
          <w:sz w:val="32"/>
          <w:szCs w:val="32"/>
        </w:rPr>
        <w:t>四、政府信息公开行政复议、行政诉讼情况</w:t>
      </w:r>
    </w:p>
    <w:tbl>
      <w:tblPr>
        <w:tblStyle w:val="7"/>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kern w:val="0"/>
                <w:sz w:val="20"/>
                <w:szCs w:val="20"/>
                <w:lang w:bidi="ar"/>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kern w:val="0"/>
                <w:sz w:val="20"/>
                <w:szCs w:val="20"/>
                <w:lang w:bidi="ar"/>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kern w:val="0"/>
                <w:sz w:val="20"/>
                <w:szCs w:val="20"/>
                <w:lang w:bidi="ar"/>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kern w:val="0"/>
                <w:sz w:val="20"/>
                <w:szCs w:val="20"/>
                <w:lang w:bidi="ar"/>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kern w:val="0"/>
                <w:sz w:val="20"/>
                <w:szCs w:val="20"/>
                <w:lang w:bidi="ar"/>
              </w:rPr>
              <w:t>尚未审结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kern w:val="0"/>
                <w:sz w:val="20"/>
                <w:szCs w:val="20"/>
                <w:lang w:bidi="ar"/>
              </w:rPr>
              <w:t>总计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kern w:val="0"/>
                <w:sz w:val="20"/>
                <w:szCs w:val="20"/>
                <w:lang w:bidi="ar"/>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55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kern w:val="0"/>
                <w:sz w:val="20"/>
                <w:szCs w:val="20"/>
                <w:lang w:bidi="ar"/>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kern w:val="0"/>
                <w:sz w:val="20"/>
                <w:szCs w:val="20"/>
                <w:lang w:bidi="ar"/>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kern w:val="0"/>
                <w:sz w:val="20"/>
                <w:szCs w:val="20"/>
                <w:lang w:bidi="ar"/>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kern w:val="0"/>
                <w:sz w:val="20"/>
                <w:szCs w:val="20"/>
                <w:lang w:bidi="ar"/>
              </w:rPr>
              <w:t>尚未审结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color w:val="000000"/>
                <w:kern w:val="0"/>
                <w:sz w:val="20"/>
                <w:szCs w:val="20"/>
                <w:lang w:bidi="ar"/>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kern w:val="0"/>
                <w:sz w:val="20"/>
                <w:szCs w:val="20"/>
                <w:lang w:bidi="ar"/>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kern w:val="0"/>
                <w:sz w:val="20"/>
                <w:szCs w:val="20"/>
                <w:lang w:bidi="ar"/>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color w:val="000000"/>
                <w:kern w:val="0"/>
                <w:sz w:val="20"/>
                <w:szCs w:val="20"/>
                <w:lang w:bidi="ar"/>
              </w:rPr>
              <w:t>其他结果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kern w:val="0"/>
                <w:sz w:val="20"/>
                <w:szCs w:val="20"/>
                <w:lang w:bidi="ar"/>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pPr>
            <w:r>
              <w:rPr>
                <w:rFonts w:hint="eastAsia" w:ascii="宋体" w:hAnsi="宋体" w:eastAsia="宋体" w:cs="宋体"/>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0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0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0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5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55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0</w:t>
            </w:r>
          </w:p>
        </w:tc>
        <w:tc>
          <w:tcPr>
            <w:tcW w:w="60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ascii="宋体" w:hAnsi="宋体" w:eastAsia="宋体" w:cs="宋体"/>
                <w:color w:val="000000" w:themeColor="text1"/>
                <w:kern w:val="0"/>
                <w:sz w:val="20"/>
                <w:szCs w:val="20"/>
                <w:lang w:bidi="ar"/>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0</w:t>
            </w:r>
          </w:p>
        </w:tc>
        <w:tc>
          <w:tcPr>
            <w:tcW w:w="60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ascii="宋体" w:hAnsi="宋体" w:eastAsia="宋体" w:cs="宋体"/>
                <w:color w:val="000000" w:themeColor="text1"/>
                <w:kern w:val="0"/>
                <w:sz w:val="20"/>
                <w:szCs w:val="20"/>
                <w:lang w:bidi="ar"/>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0</w:t>
            </w:r>
          </w:p>
        </w:tc>
      </w:tr>
    </w:tbl>
    <w:p>
      <w:pPr>
        <w:pStyle w:val="2"/>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政府信息公开工作存在的主要问题及改进情况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（一）主要问题：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sz w:val="32"/>
          <w:szCs w:val="32"/>
          <w:lang w:val="en-US" w:eastAsia="zh-CN"/>
        </w:rPr>
      </w:pPr>
      <w:r>
        <w:rPr>
          <w:rFonts w:ascii="仿宋_GB2312" w:hAnsi="宋体" w:eastAsia="仿宋_GB2312" w:cs="仿宋_GB2312"/>
          <w:b/>
          <w:bCs/>
          <w:i w:val="0"/>
          <w:iCs w:val="0"/>
          <w:caps w:val="0"/>
          <w:color w:val="222222"/>
          <w:spacing w:val="0"/>
          <w:sz w:val="32"/>
          <w:szCs w:val="32"/>
          <w:shd w:val="clear" w:fill="FFFFFF"/>
        </w:rPr>
        <w:t>一是</w:t>
      </w:r>
      <w:r>
        <w:rPr>
          <w:rFonts w:ascii="仿宋_GB2312" w:hAnsi="宋体" w:eastAsia="仿宋_GB2312" w:cs="仿宋_GB2312"/>
          <w:i w:val="0"/>
          <w:iCs w:val="0"/>
          <w:caps w:val="0"/>
          <w:color w:val="222222"/>
          <w:spacing w:val="0"/>
          <w:sz w:val="32"/>
          <w:szCs w:val="32"/>
          <w:shd w:val="clear" w:fill="FFFFFF"/>
        </w:rPr>
        <w:t>信息公开</w:t>
      </w:r>
      <w:r>
        <w:rPr>
          <w:rFonts w:hint="eastAsia" w:ascii="仿宋_GB2312" w:hAnsi="宋体" w:eastAsia="仿宋_GB2312" w:cs="仿宋_GB2312"/>
          <w:i w:val="0"/>
          <w:iCs w:val="0"/>
          <w:caps w:val="0"/>
          <w:color w:val="222222"/>
          <w:spacing w:val="0"/>
          <w:sz w:val="32"/>
          <w:szCs w:val="32"/>
          <w:shd w:val="clear" w:fill="FFFFFF"/>
          <w:lang w:val="en-US" w:eastAsia="zh-CN"/>
        </w:rPr>
        <w:t>需进一步规范</w:t>
      </w:r>
      <w:r>
        <w:rPr>
          <w:rFonts w:ascii="仿宋_GB2312" w:hAnsi="宋体" w:eastAsia="仿宋_GB2312" w:cs="仿宋_GB2312"/>
          <w:i w:val="0"/>
          <w:iCs w:val="0"/>
          <w:caps w:val="0"/>
          <w:color w:val="222222"/>
          <w:spacing w:val="0"/>
          <w:sz w:val="32"/>
          <w:szCs w:val="32"/>
          <w:shd w:val="clear" w:fill="FFFFFF"/>
        </w:rPr>
        <w:t>；</w:t>
      </w:r>
      <w:r>
        <w:rPr>
          <w:rFonts w:ascii="仿宋_GB2312" w:hAnsi="宋体" w:eastAsia="仿宋_GB2312" w:cs="仿宋_GB2312"/>
          <w:b/>
          <w:bCs/>
          <w:i w:val="0"/>
          <w:iCs w:val="0"/>
          <w:caps w:val="0"/>
          <w:color w:val="222222"/>
          <w:spacing w:val="0"/>
          <w:sz w:val="32"/>
          <w:szCs w:val="32"/>
          <w:shd w:val="clear" w:fill="FFFFFF"/>
        </w:rPr>
        <w:t>二是</w:t>
      </w:r>
      <w:r>
        <w:rPr>
          <w:rFonts w:ascii="仿宋_GB2312" w:hAnsi="宋体" w:eastAsia="仿宋_GB2312" w:cs="仿宋_GB2312"/>
          <w:i w:val="0"/>
          <w:iCs w:val="0"/>
          <w:caps w:val="0"/>
          <w:color w:val="222222"/>
          <w:spacing w:val="0"/>
          <w:sz w:val="32"/>
          <w:szCs w:val="32"/>
          <w:shd w:val="clear" w:fill="FFFFFF"/>
        </w:rPr>
        <w:t>政务</w:t>
      </w:r>
      <w:r>
        <w:rPr>
          <w:rFonts w:hint="eastAsia" w:ascii="仿宋_GB2312" w:hAnsi="宋体" w:eastAsia="仿宋_GB2312" w:cs="仿宋_GB2312"/>
          <w:i w:val="0"/>
          <w:iCs w:val="0"/>
          <w:caps w:val="0"/>
          <w:color w:val="222222"/>
          <w:spacing w:val="0"/>
          <w:sz w:val="32"/>
          <w:szCs w:val="32"/>
          <w:shd w:val="clear" w:fill="FFFFFF"/>
          <w:lang w:val="en-US" w:eastAsia="zh-CN"/>
        </w:rPr>
        <w:t>新媒体监管有待加强</w:t>
      </w:r>
      <w:r>
        <w:rPr>
          <w:rFonts w:ascii="仿宋_GB2312" w:hAnsi="宋体" w:eastAsia="仿宋_GB2312" w:cs="仿宋_GB2312"/>
          <w:i w:val="0"/>
          <w:iCs w:val="0"/>
          <w:caps w:val="0"/>
          <w:color w:val="222222"/>
          <w:spacing w:val="0"/>
          <w:sz w:val="32"/>
          <w:szCs w:val="32"/>
          <w:shd w:val="clear" w:fill="FFFFFF"/>
        </w:rPr>
        <w:t>；</w:t>
      </w:r>
      <w:r>
        <w:rPr>
          <w:rFonts w:ascii="仿宋_GB2312" w:hAnsi="宋体" w:eastAsia="仿宋_GB2312" w:cs="仿宋_GB2312"/>
          <w:b/>
          <w:bCs/>
          <w:i w:val="0"/>
          <w:iCs w:val="0"/>
          <w:caps w:val="0"/>
          <w:color w:val="222222"/>
          <w:spacing w:val="0"/>
          <w:sz w:val="32"/>
          <w:szCs w:val="32"/>
          <w:shd w:val="clear" w:fill="FFFFFF"/>
        </w:rPr>
        <w:t>三是</w:t>
      </w:r>
      <w:r>
        <w:rPr>
          <w:rFonts w:hint="eastAsia" w:ascii="仿宋_GB2312" w:hAnsi="宋体" w:eastAsia="仿宋_GB2312" w:cs="仿宋_GB2312"/>
          <w:i w:val="0"/>
          <w:iCs w:val="0"/>
          <w:caps w:val="0"/>
          <w:color w:val="222222"/>
          <w:spacing w:val="0"/>
          <w:sz w:val="32"/>
          <w:szCs w:val="32"/>
          <w:shd w:val="clear" w:fill="FFFFFF"/>
          <w:lang w:val="en-US" w:eastAsia="zh-CN"/>
        </w:rPr>
        <w:t>依申请公开办理标准有待提高</w:t>
      </w:r>
      <w:r>
        <w:rPr>
          <w:rFonts w:ascii="仿宋_GB2312" w:hAnsi="宋体" w:eastAsia="仿宋_GB2312" w:cs="仿宋_GB2312"/>
          <w:i w:val="0"/>
          <w:iCs w:val="0"/>
          <w:caps w:val="0"/>
          <w:color w:val="222222"/>
          <w:spacing w:val="0"/>
          <w:sz w:val="32"/>
          <w:szCs w:val="32"/>
          <w:shd w:val="clear"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（二）改进措施：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一是大力推进政务公开标准化规范化建设。</w:t>
      </w:r>
      <w:r>
        <w:rPr>
          <w:rFonts w:hint="eastAsia" w:ascii="仿宋_GB2312" w:hAnsi="仿宋_GB2312" w:eastAsia="仿宋_GB2312" w:cs="仿宋_GB2312"/>
          <w:sz w:val="32"/>
          <w:szCs w:val="32"/>
          <w:lang w:val="en-US" w:eastAsia="zh-CN"/>
        </w:rPr>
        <w:t>由区府办政务公开科牵头各相关部门对照部委印发的基层政务公开标准目录，结合《浙江省政务公开工作“一本账》，进行再梳理再优化，深化栏目建设与标准目录融合工作，做到应公开尽公开，推动政务公开标准化规范化工作落实落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二是大力推进政务新媒体健康有序发展。</w:t>
      </w:r>
      <w:r>
        <w:rPr>
          <w:rFonts w:hint="eastAsia" w:ascii="仿宋_GB2312" w:hAnsi="仿宋_GB2312" w:eastAsia="仿宋_GB2312" w:cs="仿宋_GB2312"/>
          <w:sz w:val="32"/>
          <w:szCs w:val="32"/>
          <w:lang w:val="en-US" w:eastAsia="zh-CN"/>
        </w:rPr>
        <w:t>保留的政务新媒体账号运营主体严格落实“三审”制度，提高信息发布质量，积极发布需协同转发的信息稿件。紧盯省监管平台，聚焦宣传实效及各项运营指数，研究制定各账号运营方案，在提升政务宣传效能的同时，提升账号运营分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sz w:val="32"/>
          <w:szCs w:val="32"/>
        </w:rPr>
      </w:pPr>
      <w:r>
        <w:rPr>
          <w:rFonts w:hint="eastAsia" w:ascii="仿宋_GB2312" w:hAnsi="仿宋_GB2312" w:eastAsia="仿宋_GB2312" w:cs="仿宋_GB2312"/>
          <w:b/>
          <w:bCs/>
          <w:sz w:val="32"/>
          <w:szCs w:val="32"/>
          <w:lang w:val="en-US" w:eastAsia="zh-CN"/>
        </w:rPr>
        <w:t>三是大力推进依申请公开信息规范办理。</w:t>
      </w:r>
      <w:r>
        <w:rPr>
          <w:rFonts w:hint="eastAsia" w:ascii="仿宋_GB2312" w:hAnsi="仿宋_GB2312" w:eastAsia="仿宋_GB2312" w:cs="仿宋_GB2312"/>
          <w:sz w:val="32"/>
          <w:szCs w:val="32"/>
          <w:lang w:val="en-US" w:eastAsia="zh-CN"/>
        </w:rPr>
        <w:t>全面梳理历年政府信息公开答复纠正及败诉案件，分析具体原因。召集信息公开受理数量较大的单位，邀请专家组织答复办理研讨会，进一步规范和提升政府信息依申请公开工作水平。</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napToGrid w:val="0"/>
          <w:color w:val="000000"/>
          <w:szCs w:val="32"/>
        </w:rPr>
      </w:pPr>
      <w:r>
        <w:rPr>
          <w:rFonts w:hint="eastAsia" w:ascii="黑体" w:hAnsi="黑体" w:eastAsia="黑体" w:cs="黑体"/>
          <w:snapToGrid w:val="0"/>
          <w:color w:val="000000"/>
          <w:szCs w:val="32"/>
        </w:rPr>
        <w:t>六、其他需要报告的事项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今年全区未发生需要收取政府信息公开处理费的办件，故未收取政府信息公开处理费。</w:t>
      </w:r>
    </w:p>
    <w:sectPr>
      <w:footerReference r:id="rId3" w:type="default"/>
      <w:pgSz w:w="11906" w:h="16838"/>
      <w:pgMar w:top="2098" w:right="1587"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0347F1"/>
    <w:rsid w:val="030C4180"/>
    <w:rsid w:val="04AE0001"/>
    <w:rsid w:val="08883434"/>
    <w:rsid w:val="135F7814"/>
    <w:rsid w:val="13DE5F16"/>
    <w:rsid w:val="15863112"/>
    <w:rsid w:val="18640D35"/>
    <w:rsid w:val="1AF1547F"/>
    <w:rsid w:val="336D1551"/>
    <w:rsid w:val="43BC1AB5"/>
    <w:rsid w:val="5A75645E"/>
    <w:rsid w:val="5AB90F1F"/>
    <w:rsid w:val="5C885A04"/>
    <w:rsid w:val="610347F1"/>
    <w:rsid w:val="65E73102"/>
    <w:rsid w:val="768D003D"/>
    <w:rsid w:val="7ABA1219"/>
    <w:rsid w:val="7B8D3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1"/>
    <w:qFormat/>
    <w:uiPriority w:val="99"/>
    <w:pPr>
      <w:ind w:firstLine="420" w:firstLineChars="200"/>
    </w:pPr>
  </w:style>
  <w:style w:type="paragraph" w:styleId="4">
    <w:name w:val="Body Text Indent"/>
    <w:basedOn w:val="1"/>
    <w:qFormat/>
    <w:uiPriority w:val="0"/>
    <w:pPr>
      <w:ind w:firstLine="630"/>
    </w:pPr>
    <w:rPr>
      <w:rFonts w:eastAsia="仿宋_GB2312"/>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2022-12-30T05:40:00Z</dcterms:created>
  <dc:creator>八岁打球会crossover</dc:creator>
  <cp:lastModifiedBy>Administrator</cp:lastModifiedBy>
  <dcterms:modified xsi:type="dcterms:W3CDTF">2024-01-05T06:18:24Z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1FB890AC2032403EBDD8F13D36425476</vt:lpwstr>
  </property>
</Properties>
</file>