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宁波市奉化区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“肥药两制”改革农资店创建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实施方案的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通知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》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起草说明</w:t>
      </w:r>
    </w:p>
    <w:p>
      <w:pPr>
        <w:spacing w:line="600" w:lineRule="exact"/>
        <w:jc w:val="center"/>
        <w:rPr>
          <w:rFonts w:hint="eastAsia" w:ascii="创艺简标宋" w:hAnsi="宋体" w:eastAsia="创艺简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为贯彻落实省政府关于深化“肥药两制”改革的决策部署，高质量打造国家农业绿色发展试点先行区，</w:t>
      </w:r>
      <w:r>
        <w:rPr>
          <w:rFonts w:hint="eastAsia" w:ascii="仿宋" w:hAnsi="仿宋" w:eastAsia="仿宋" w:cs="仿宋"/>
          <w:sz w:val="32"/>
          <w:szCs w:val="32"/>
        </w:rPr>
        <w:t>根据省、市相关要求，我局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拟定了</w:t>
      </w:r>
      <w:r>
        <w:rPr>
          <w:rFonts w:hint="eastAsia" w:ascii="仿宋_GB2312" w:eastAsia="仿宋_GB2312"/>
          <w:sz w:val="32"/>
          <w:szCs w:val="32"/>
        </w:rPr>
        <w:t>《宁波市奉化区</w:t>
      </w:r>
      <w:r>
        <w:rPr>
          <w:rFonts w:hint="eastAsia" w:ascii="仿宋_GB2312" w:eastAsia="仿宋_GB2312"/>
          <w:sz w:val="32"/>
          <w:szCs w:val="32"/>
          <w:lang w:eastAsia="zh-CN"/>
        </w:rPr>
        <w:t>“肥药两制”改革农资店创建活动</w:t>
      </w:r>
      <w:r>
        <w:rPr>
          <w:rFonts w:hint="eastAsia" w:ascii="仿宋_GB2312" w:eastAsia="仿宋_GB2312"/>
          <w:sz w:val="32"/>
          <w:szCs w:val="32"/>
        </w:rPr>
        <w:t>实施方案》</w:t>
      </w:r>
      <w:r>
        <w:rPr>
          <w:rFonts w:hint="eastAsia" w:ascii="仿宋" w:hAnsi="仿宋" w:eastAsia="仿宋" w:cs="仿宋"/>
          <w:sz w:val="32"/>
          <w:szCs w:val="32"/>
        </w:rPr>
        <w:t>，计划在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</w:rPr>
        <w:t>范围内实施</w:t>
      </w:r>
      <w:r>
        <w:rPr>
          <w:rFonts w:hint="eastAsia" w:ascii="仿宋_GB2312" w:eastAsia="仿宋_GB2312"/>
          <w:sz w:val="32"/>
          <w:szCs w:val="32"/>
          <w:lang w:eastAsia="zh-CN"/>
        </w:rPr>
        <w:t>“肥药两制”改革农资店创建活动</w:t>
      </w:r>
      <w:r>
        <w:rPr>
          <w:rFonts w:hint="eastAsia" w:ascii="仿宋" w:hAnsi="仿宋" w:eastAsia="仿宋" w:cs="仿宋"/>
          <w:sz w:val="32"/>
          <w:szCs w:val="32"/>
        </w:rPr>
        <w:t>。现将《</w:t>
      </w:r>
      <w:r>
        <w:rPr>
          <w:rFonts w:hint="eastAsia" w:ascii="仿宋_GB2312" w:eastAsia="仿宋_GB2312"/>
          <w:sz w:val="32"/>
          <w:szCs w:val="32"/>
        </w:rPr>
        <w:t>宁波市奉化区</w:t>
      </w:r>
      <w:r>
        <w:rPr>
          <w:rFonts w:hint="eastAsia" w:ascii="仿宋_GB2312" w:eastAsia="仿宋_GB2312"/>
          <w:sz w:val="32"/>
          <w:szCs w:val="32"/>
          <w:lang w:eastAsia="zh-CN"/>
        </w:rPr>
        <w:t>“肥药两制”改革农资店创建活动</w:t>
      </w:r>
      <w:r>
        <w:rPr>
          <w:rFonts w:hint="eastAsia" w:ascii="仿宋_GB2312" w:eastAsia="仿宋_GB2312"/>
          <w:sz w:val="32"/>
          <w:szCs w:val="32"/>
        </w:rPr>
        <w:t>实施方案</w:t>
      </w:r>
      <w:r>
        <w:rPr>
          <w:rFonts w:hint="eastAsia" w:ascii="仿宋" w:hAnsi="仿宋" w:eastAsia="仿宋" w:cs="仿宋"/>
          <w:sz w:val="32"/>
          <w:szCs w:val="32"/>
        </w:rPr>
        <w:t>》起草的有关情况汇报如下：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一、编制背景</w:t>
      </w:r>
    </w:p>
    <w:p>
      <w:pPr>
        <w:spacing w:line="6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开展“肥药两制”改革农资店创建，是</w:t>
      </w:r>
      <w:r>
        <w:rPr>
          <w:rFonts w:hint="eastAsia" w:ascii="仿宋_GB2312" w:hAnsi="华文中宋" w:eastAsia="仿宋_GB2312"/>
          <w:sz w:val="32"/>
          <w:szCs w:val="32"/>
        </w:rPr>
        <w:t>从源头规范农业投入品流通使用，推动农业全产业链转型升级</w:t>
      </w:r>
      <w:r>
        <w:rPr>
          <w:rFonts w:hint="eastAsia" w:ascii="仿宋_GB2312" w:hAnsi="黑体" w:eastAsia="仿宋_GB2312"/>
          <w:sz w:val="32"/>
          <w:szCs w:val="32"/>
        </w:rPr>
        <w:t>的重要举措和关键一环。通过创建管理数字化、服务绿色化、经营规范化的农资店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全面推进农资经营体系现代化发展，</w:t>
      </w:r>
      <w:r>
        <w:rPr>
          <w:rFonts w:hint="eastAsia" w:ascii="仿宋_GB2312" w:eastAsia="仿宋_GB2312"/>
          <w:sz w:val="32"/>
          <w:szCs w:val="32"/>
        </w:rPr>
        <w:t>为加强</w:t>
      </w:r>
      <w:r>
        <w:rPr>
          <w:rFonts w:hint="eastAsia" w:ascii="仿宋_GB2312" w:hAnsi="华文中宋" w:eastAsia="仿宋_GB2312"/>
          <w:sz w:val="32"/>
          <w:szCs w:val="32"/>
        </w:rPr>
        <w:t>农业投入品“进—销—用—回”全周期闭环管理，</w:t>
      </w:r>
      <w:r>
        <w:rPr>
          <w:rFonts w:hint="eastAsia" w:ascii="仿宋_GB2312" w:eastAsia="仿宋_GB2312"/>
          <w:sz w:val="32"/>
          <w:szCs w:val="32"/>
        </w:rPr>
        <w:t>有效落实化肥农药实名制购买、定额制施用</w:t>
      </w:r>
      <w:r>
        <w:rPr>
          <w:rFonts w:hint="eastAsia" w:ascii="仿宋_GB2312" w:hAnsi="华文中宋" w:eastAsia="仿宋_GB2312"/>
          <w:sz w:val="32"/>
          <w:szCs w:val="32"/>
        </w:rPr>
        <w:t>提供实现路径。</w:t>
      </w:r>
      <w:r>
        <w:rPr>
          <w:rFonts w:hint="eastAsia" w:ascii="仿宋" w:hAnsi="仿宋" w:eastAsia="仿宋" w:cs="仿宋"/>
        </w:rPr>
        <w:t>《</w:t>
      </w:r>
      <w:r>
        <w:rPr>
          <w:rFonts w:hint="eastAsia" w:ascii="仿宋_GB2312" w:hAnsi="黑体" w:eastAsia="仿宋_GB2312"/>
          <w:sz w:val="32"/>
          <w:szCs w:val="32"/>
        </w:rPr>
        <w:t>浙江省农业农村厅关于开展“肥药两制”改革农资店创建工作的通知</w:t>
      </w:r>
      <w:r>
        <w:rPr>
          <w:rFonts w:hint="eastAsia" w:ascii="仿宋" w:hAnsi="仿宋" w:eastAsia="仿宋" w:cs="仿宋"/>
        </w:rPr>
        <w:t>》（</w:t>
      </w:r>
      <w:r>
        <w:rPr>
          <w:rFonts w:hint="eastAsia" w:ascii="仿宋_GB2312" w:eastAsia="仿宋_GB2312"/>
          <w:sz w:val="32"/>
          <w:szCs w:val="32"/>
        </w:rPr>
        <w:t>浙农法发〔2020〕5号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eastAsia="zh-CN"/>
        </w:rPr>
        <w:t>中</w:t>
      </w:r>
      <w:r>
        <w:rPr>
          <w:rFonts w:hint="eastAsia" w:ascii="仿宋" w:hAnsi="仿宋" w:eastAsia="仿宋" w:cs="仿宋"/>
        </w:rPr>
        <w:t>明确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结合农业绿色发展先行示范项目建设和农资监管与服务信息化，切实抓好“肥药两制”改革农资店创建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1.浙江省农业农村厅</w:t>
      </w:r>
      <w:r>
        <w:rPr>
          <w:rFonts w:hint="eastAsia" w:ascii="仿宋" w:hAnsi="仿宋" w:eastAsia="仿宋" w:cs="仿宋"/>
        </w:rPr>
        <w:t>《</w:t>
      </w:r>
      <w:r>
        <w:rPr>
          <w:rFonts w:hint="eastAsia" w:ascii="仿宋_GB2312" w:hAnsi="黑体" w:eastAsia="仿宋_GB2312"/>
          <w:sz w:val="32"/>
          <w:szCs w:val="32"/>
        </w:rPr>
        <w:t>浙江省农业农村厅关于开展“肥药两制”改革农资店创建工作的通知</w:t>
      </w:r>
      <w:r>
        <w:rPr>
          <w:rFonts w:hint="eastAsia" w:ascii="仿宋" w:hAnsi="仿宋" w:eastAsia="仿宋" w:cs="仿宋"/>
        </w:rPr>
        <w:t>》（</w:t>
      </w:r>
      <w:r>
        <w:rPr>
          <w:rFonts w:hint="eastAsia" w:ascii="仿宋_GB2312" w:eastAsia="仿宋_GB2312"/>
          <w:sz w:val="32"/>
          <w:szCs w:val="32"/>
        </w:rPr>
        <w:t>浙农法发〔2020〕5号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eastAsia="zh-CN"/>
        </w:rPr>
        <w:t>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宁波市奉化区农业农村局、宁波市奉化区财政局《关于印发奉化区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2021年市级农业农村发展指导性任务专项资金管理办法的通知》</w:t>
      </w:r>
      <w:r>
        <w:rPr>
          <w:rFonts w:hint="eastAsia" w:ascii="仿宋_GB2312" w:eastAsia="仿宋_GB2312"/>
          <w:sz w:val="32"/>
          <w:szCs w:val="32"/>
          <w:lang w:eastAsia="zh-CN"/>
        </w:rPr>
        <w:t>（奉</w:t>
      </w:r>
      <w:r>
        <w:rPr>
          <w:rFonts w:hint="eastAsia" w:ascii="仿宋_GB2312" w:eastAsia="仿宋_GB2312"/>
          <w:sz w:val="32"/>
          <w:szCs w:val="32"/>
        </w:rPr>
        <w:t>农发〔202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）文件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</w:t>
      </w:r>
      <w:r>
        <w:rPr>
          <w:rFonts w:hint="eastAsia" w:ascii="黑体" w:hAnsi="黑体" w:eastAsia="黑体" w:cs="黑体"/>
          <w:lang w:eastAsia="zh-CN"/>
        </w:rPr>
        <w:t>编制</w:t>
      </w:r>
      <w:r>
        <w:rPr>
          <w:rFonts w:hint="eastAsia" w:ascii="黑体" w:hAnsi="黑体" w:eastAsia="黑体" w:cs="黑体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文件精神</w:t>
      </w:r>
      <w:r>
        <w:rPr>
          <w:rFonts w:hint="eastAsia" w:ascii="仿宋" w:hAnsi="仿宋" w:eastAsia="仿宋" w:cs="仿宋"/>
          <w:sz w:val="32"/>
          <w:szCs w:val="32"/>
        </w:rPr>
        <w:t>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实际，经多次讨论研究，形成《</w:t>
      </w:r>
      <w:r>
        <w:rPr>
          <w:rFonts w:hint="eastAsia" w:ascii="仿宋_GB2312" w:eastAsia="仿宋_GB2312"/>
          <w:sz w:val="32"/>
          <w:szCs w:val="32"/>
        </w:rPr>
        <w:t>宁波市奉化区</w:t>
      </w:r>
      <w:r>
        <w:rPr>
          <w:rFonts w:hint="eastAsia" w:ascii="仿宋_GB2312" w:eastAsia="仿宋_GB2312"/>
          <w:sz w:val="32"/>
          <w:szCs w:val="32"/>
          <w:lang w:eastAsia="zh-CN"/>
        </w:rPr>
        <w:t>“肥药两制”改革农资店创建活动</w:t>
      </w:r>
      <w:r>
        <w:rPr>
          <w:rFonts w:hint="eastAsia" w:ascii="仿宋_GB2312" w:eastAsia="仿宋_GB2312"/>
          <w:sz w:val="32"/>
          <w:szCs w:val="32"/>
        </w:rPr>
        <w:t>实施方案</w:t>
      </w:r>
      <w:r>
        <w:rPr>
          <w:rFonts w:hint="eastAsia" w:ascii="仿宋" w:hAnsi="仿宋" w:eastAsia="仿宋" w:cs="仿宋"/>
          <w:sz w:val="32"/>
          <w:szCs w:val="32"/>
        </w:rPr>
        <w:t>（征求意见稿）》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四、主要内容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（一）创建内容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、数字化管理。通过安装“肥药两制”改革数字化管理系统，配备摄像头、扫码枪、读卡器等硬件设施，深化二维码、店内码等电子标识在农资内外包装上的关联，加快普及“刷脸”“扫码”等农资购销信息化技术，加强对购销台账的数字化管理，建立真实、完整、准确的电子台账并联网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、绿色化服务。加大生物制剂、低毒低残留等新型农药以及商品有机肥、各类高效肥料的推广力度，落实高毒限用农药退出和定点经营制度，探索实施农业主体肥药限量购买，创新提供肥药施用指导建议、超额购买预警提示、农资补贴发放核实等服务。推动有条件的农资经营主体开展统防统治、机械施肥等社会化服务。</w:t>
      </w:r>
      <w:r>
        <w:rPr>
          <w:rFonts w:hint="eastAsia" w:ascii="仿宋" w:hAnsi="仿宋" w:eastAsia="仿宋" w:cs="仿宋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、规范化经营。根据《农药管理条例》等相关法律法规，按照证照合法齐全、规模布局合理、设施条件具备、管理制度完整、经营规范有序的要求，开展农资经营主体提升改造行动。严格落实农药实名购买制度，如实记录购买者姓名、农药品名、规格、数量以及销售日期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（二）创建申请条件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1、主体资质。申领取得工商营业执照、农药经营许可证等有关证照，向当地农业生产主体提供农药、化肥等农业生产资料及相关服务，且近两年内无严重违法违规行为的农村零售农资门店。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、人员素质。经营人员具备农学、植保、农药等相关专业中专以上学历或者专业机构教育学习经历，了解相关法律法规和制度规定，掌握农业投入品和农业生产方面的专业知识，能够熟练操作农资监管与服务信息化平台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（三）、创建程序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1、组织申报。根据创建目标任务，按照“申报一批、创建一批”的工作思路，分年度集中组织开展创建申报。农资经营主体提出创建申请后，经我局审核确认，由市农业农村局汇总后于8月上旬前上报省厅备案。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、评估认定。按照“成熟一批、认定一批”的工作思路，开展“肥药两制”改革农资店评估认定。农资经营主体完成创建后，于每年10月底向我局提出认定申请，经我局初审、市级复审后上报省厅，省厅将组织开展综合评估，对通过认定的主体发文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（四）资金奖励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经省厅发文公布的主体，</w:t>
      </w:r>
      <w:bookmarkStart w:id="0" w:name="_GoBack"/>
      <w:bookmarkEnd w:id="0"/>
      <w:r>
        <w:rPr>
          <w:rFonts w:hint="eastAsia" w:ascii="仿宋" w:hAnsi="仿宋" w:eastAsia="仿宋" w:cs="仿宋"/>
          <w:szCs w:val="32"/>
          <w:lang w:val="en-US" w:eastAsia="zh-CN"/>
        </w:rPr>
        <w:t>以奖代补的方式一次性奖励2万元。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黑体" w:hAnsi="黑体" w:eastAsia="黑体" w:cs="黑体"/>
          <w:lang w:val="en-US" w:eastAsia="zh-CN"/>
        </w:rPr>
        <w:t xml:space="preserve">  五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下步工作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1.加强创建指导。积极实地指导创建，加块创建实施进度。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组织验收检查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根据相关文件要求，到期申请上级相关部门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验收检查，切实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打造农业高质高效金名片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1122"/>
    <w:rsid w:val="02D000B1"/>
    <w:rsid w:val="032E35B9"/>
    <w:rsid w:val="05402A8D"/>
    <w:rsid w:val="0B9F3D81"/>
    <w:rsid w:val="0BDB34F1"/>
    <w:rsid w:val="0D945AB4"/>
    <w:rsid w:val="0F3600E4"/>
    <w:rsid w:val="133C7E1E"/>
    <w:rsid w:val="176B2D87"/>
    <w:rsid w:val="1A1E6FDB"/>
    <w:rsid w:val="1E5E72C3"/>
    <w:rsid w:val="2B9A3E93"/>
    <w:rsid w:val="2F883DD2"/>
    <w:rsid w:val="3AEE1A37"/>
    <w:rsid w:val="3B517E00"/>
    <w:rsid w:val="3BD11FB5"/>
    <w:rsid w:val="3E7B7E24"/>
    <w:rsid w:val="40AD268C"/>
    <w:rsid w:val="46497F30"/>
    <w:rsid w:val="47AB7490"/>
    <w:rsid w:val="4E0A104D"/>
    <w:rsid w:val="4E411453"/>
    <w:rsid w:val="58E8716D"/>
    <w:rsid w:val="590B32AB"/>
    <w:rsid w:val="5BF951DF"/>
    <w:rsid w:val="5C5254AB"/>
    <w:rsid w:val="60A02CA0"/>
    <w:rsid w:val="61CC09A5"/>
    <w:rsid w:val="63056364"/>
    <w:rsid w:val="64230D3A"/>
    <w:rsid w:val="68A96D6C"/>
    <w:rsid w:val="6BEC7CBB"/>
    <w:rsid w:val="6C87680A"/>
    <w:rsid w:val="6D29196A"/>
    <w:rsid w:val="74691B0B"/>
    <w:rsid w:val="74AC279F"/>
    <w:rsid w:val="7BA4170E"/>
    <w:rsid w:val="7E716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cs="Times New Roman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2022-01-13T15:37:04Z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4791A350EAED41A48E9E1A40195DE8F6</vt:lpwstr>
  </property>
</Properties>
</file>