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“肥药两制”改革农资店评价指标体系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44"/>
          <w:szCs w:val="32"/>
        </w:rPr>
      </w:pPr>
    </w:p>
    <w:tbl>
      <w:tblPr>
        <w:tblStyle w:val="4"/>
        <w:tblW w:w="13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30"/>
        <w:gridCol w:w="735"/>
        <w:gridCol w:w="3720"/>
        <w:gridCol w:w="618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一级指标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二级指标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分值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指标说明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评分标准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数字化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（50分）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实名购买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在农药、肥料实名购买过程中，应用“刷脸”、“刷卡”等信息技术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严格落实农药实名制购销的，得5分，不符合要求的，扣2-5分；②对列入“肥药两制”改革万家主体名录库的主体开展肥料实名制购销的，得5分，不符合要求的，扣2-5分；③实名购买应用“刷脸”、“刷卡”等信息技术的，得5分，未应用的不得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识应用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电子标识应用指通过在农资产品上使用二维码、店内码等标识，开展产品信息查询和录入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在售化肥、农药全部使用电子标识，实现产品信息扫码查询和录入的，得10分，电子标识使用率每降低1个百分点，扣0.2分，扣完为止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账记录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通过建立农资购销电子台账替代人记手录 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①建立电子台账的，得5分，未建立的不得分；②台账内容真实、完整、准确的，得8分，不符合要求的,扣4-8分；③及时上传农资监管信息化平台的，得2分，不上传的不得分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升级硬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件设备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配备有农资数字化管理所需硬件，包括电脑（POS机）、摄像头、扫描枪、读卡器、宽带等 </w:t>
            </w:r>
          </w:p>
        </w:tc>
        <w:tc>
          <w:tcPr>
            <w:tcW w:w="6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①数字化管理所需硬件设备配备齐全的，得5分，缺少一样扣1分，扣完为止；②硬件设备均能够正常使用的，得5分，否则扣2-5分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绿色化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（30分）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推广绿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色农资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绿色农资包括但不限于生物制剂、低毒低残留等新型农药以及缓控释、配方肥、复混肥等高效肥料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每推广应用一个绿色农资产品得0.5分，最高得5分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禁限农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药退出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禁限用农药指国家明令禁止或者限制经销、使用的农药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严格执行禁限用农药退出制度的，得5分；不符合要求的，扣1-4分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肥药限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量购买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10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创新提供肥药施用指导建议、超额购买预警提示、农资补贴发放核实等服务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 w:cs="宋体"/>
                <w:bCs/>
                <w:sz w:val="24"/>
              </w:rPr>
              <w:t>提供肥药施用指导建议的，得3分，否则不得分；</w:t>
            </w:r>
            <w:r>
              <w:rPr>
                <w:rFonts w:hint="eastAsia" w:ascii="宋体" w:hAnsi="宋体"/>
                <w:sz w:val="24"/>
              </w:rPr>
              <w:t>②开展</w:t>
            </w:r>
            <w:r>
              <w:rPr>
                <w:rFonts w:hint="eastAsia" w:ascii="宋体" w:hAnsi="宋体" w:cs="宋体"/>
                <w:bCs/>
                <w:sz w:val="24"/>
              </w:rPr>
              <w:t>超额购买预警提示的，得5分，否则不得分；</w:t>
            </w:r>
            <w:r>
              <w:rPr>
                <w:rFonts w:hint="eastAsia" w:ascii="宋体" w:hAnsi="宋体"/>
                <w:sz w:val="24"/>
              </w:rPr>
              <w:t>③实现</w:t>
            </w:r>
            <w:r>
              <w:rPr>
                <w:rFonts w:hint="eastAsia" w:ascii="宋体" w:hAnsi="宋体" w:cs="宋体"/>
                <w:bCs/>
                <w:sz w:val="24"/>
              </w:rPr>
              <w:t>农资补贴发放核实的，得2分，否则不得分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提供配套服务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依法依规经营销售农资产品，正确说明产品的使用范围、使用方法和剂量、使用技术要求和注意事项</w:t>
            </w:r>
          </w:p>
        </w:tc>
        <w:tc>
          <w:tcPr>
            <w:tcW w:w="6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无纠纷投诉或行政处罚的，得6分；有投诉调处或立案处罚的，出现一次扣2分，扣完为止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回收废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弃包装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及时回收农药、肥料等农业投入品的包装废弃物和农用薄膜</w:t>
            </w:r>
          </w:p>
        </w:tc>
        <w:tc>
          <w:tcPr>
            <w:tcW w:w="6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①开展农药、肥料等农业投入品的包装废弃物以及废旧农膜回收工作的，得2分，否则不得分；②建立回收台账的，得2分，否则不得分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（20分）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证照合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法齐全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经工商依法登记注册，有相关经营许可资格，且悬挂上墙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证照齐全、上墙公示的，得5分；不符合要求的，扣2-5分。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规模布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局合理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经营场所符合相关许可的要求和标准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整体布局科学合理、整洁美观，储存农资商品堆放有序，经营区与生活区分离，商品陈列规范的，得5分，不符合要求的，扣2-5分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设施条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件具备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营业场所、仓储场所不小于规定面积，有配套的安全设施和安全标识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营业场所、仓储场所面积达标，安全设施、标识完整的，得5分，不符合要求的，扣2-5分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度完整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向具有合法资质的农资生产企业或经销商采购农资商品，落实进货查验、索票索证，建立农资采购电子台账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严格开展农资产品源头管控的，</w:t>
            </w:r>
            <w:r>
              <w:rPr>
                <w:rFonts w:hint="eastAsia" w:ascii="宋体" w:hAnsi="宋体"/>
                <w:sz w:val="24"/>
              </w:rPr>
              <w:t>得5分，不符合要求的，扣2-5分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附加项目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（5分）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业服务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由农资经销向生产作业延伸，通过“庄稼医院”等方式，向农业主体提供统防统治、机械施肥等农业绿色生产社会化服务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提供农业绿色生产社会化服务的，附加5分，未开展的不加分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12A29"/>
    <w:rsid w:val="0FD12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2021-08-06T01:40:00Z</dcterms:created>
  <dc:creator>六二零</dc:creator>
  <cp:lastModifiedBy>六二零</cp:lastModifiedBy>
  <dcterms:modified xsi:type="dcterms:W3CDTF">2021-08-06T01:41:02Z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B6D84CF5254B40EF9531898308A78E0F</vt:lpwstr>
  </property>
</Properties>
</file>