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年宁波市奉化区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卫生健康系统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医学类高层次人才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提交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各位报名考生：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请根据各岗位要求提供报名资料，包含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原件及复印件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，并按以下顺序排列装订提交：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年宁波市奉化区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医学类高层次人才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贴照片一份（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本人有效身份证明复印件（正反面）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户口簿复印件（或印有本人户口信息的户口簿页面）；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学校核发的就业推荐表、《普通高校毕业生就业协议书》（一式三份）复印件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此条为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应届毕业生要求提供资料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所学专业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初始学历至最高有效学历排序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,包括全日制、非全日制教育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6.有效期内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《教育部学历证书电子注册备案表》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执业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医师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资格证书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《住院医师规范化培训合格证书》或规培证明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  <w:t>（有要求岗位）；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所在单位同意报考的证明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此条为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非公立医疗卫生单位工作人员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要求提供资料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default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33C5"/>
    <w:rsid w:val="10951124"/>
    <w:rsid w:val="10AE3A90"/>
    <w:rsid w:val="1FBA1CDB"/>
    <w:rsid w:val="306C1DF1"/>
    <w:rsid w:val="39D77648"/>
    <w:rsid w:val="3B4157C5"/>
    <w:rsid w:val="40444844"/>
    <w:rsid w:val="4838554B"/>
    <w:rsid w:val="48A45B18"/>
    <w:rsid w:val="4A8B51CB"/>
    <w:rsid w:val="4E952105"/>
    <w:rsid w:val="50852E93"/>
    <w:rsid w:val="516E1E7E"/>
    <w:rsid w:val="5A9625FE"/>
    <w:rsid w:val="5B4B33F8"/>
    <w:rsid w:val="5C5641DE"/>
    <w:rsid w:val="5CC3233C"/>
    <w:rsid w:val="5E883D2C"/>
    <w:rsid w:val="6F0333C5"/>
    <w:rsid w:val="753162F0"/>
    <w:rsid w:val="773B1A08"/>
    <w:rsid w:val="79D54FD9"/>
    <w:rsid w:val="7B7A02D6"/>
    <w:rsid w:val="F65F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2020-12-29T08:47:00Z</dcterms:created>
  <dc:creator>Administrator</dc:creator>
  <cp:lastModifiedBy>Administrator</cp:lastModifiedBy>
  <cp:lastPrinted>2023-05-09T05:11:00Z</cp:lastPrinted>
  <dcterms:modified xsi:type="dcterms:W3CDTF">2023-05-19T05:41:06Z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