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奉亩均办〔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2022年奉化区深化“亩均论英雄”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改革工作要点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为深入贯彻市委市政府、区委区政府有关决策部署，推进我区经济实现高质量发展，现将2022年奉化区深化“亩均论英雄”改革工作要点明确如下。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引，以新一轮制造业“腾笼换鸟、凤凰涅槃”攻坚行动为契机，坚持统筹推进，强化两个“精准”，实现两项“联动”，持续深化“亩均论英雄”改革，有效促进资源要素优化配置，实现经济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两个“精准”：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精准评价，结合形势发展，不断优化亩均效益综合评价指标体系，提高评价方式、评价对象、评价结果的精准性；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精准施策，落实资源要素优化配置政策，多领域多维度实施差别化用地、用能、排放、金融、财政政策。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两项“联动”：</w:t>
      </w:r>
      <w:r>
        <w:rPr>
          <w:rFonts w:hint="eastAsia" w:ascii="仿宋_GB2312" w:hAnsi="仿宋_GB2312" w:eastAsia="仿宋_GB2312" w:cs="仿宋_GB2312"/>
          <w:sz w:val="32"/>
          <w:szCs w:val="32"/>
        </w:rPr>
        <w:t>将“亩均论英雄”改革与国土空间综合整治、新一轮制造业“腾笼换鸟、凤凰涅槃”攻坚行动等两项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重点工作、重点改革进行联动，实现资源共享、互为补充、协同推进。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进一步优化综合评价机制，加强评价结果综合应用，促进资源要素优化配置，持续深化“亩均论英雄”改革。实现规上工业亩均税收增长7%、规上工业亩均增加值增长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%、高耗低效工业企业整治提升1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三、重要任务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（一）精准开展亩均效益综合评价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1.优化综合评价办法。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基于《宁波市“亩均论英雄”综合评价办法3.0版》，结合新一轮“腾笼换鸟、凤凰涅槃”专项攻坚行动，研究制定出台《奉化区工业企业“亩均效益”综合评价办法3.0版》，用以指导当前的评价工作。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责任单位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：区经信局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2.摸清工业用地底数。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2020年度排摸数据为基础，充分利用数字化手段，整合各部门资源，与国土空间全域治理、产业地图编制等工作进行联动，对区域内工业企业用地情况做到全面排摸确认。规下工业企业评价土地以3亩以上为主。该项工作需在2022年1月底前完成。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责任单位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：区自然资源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局、区经信局；各镇（街道）、开发区〕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3.科学界定评价对象。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评价主体由企业评价和地块评价相结合的方式。规上工业企业、土地权属清晰的应当使用企业评价；对于单宗地块上存在多个经营主体、共租共用等情况且难以明确分割土地面积的，原则上采用所有宗地合并的形式进行评价，提升土地评价覆盖面，各镇（街道）、开发区工业用地评价覆盖面原则上要达到70%以上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责任单位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：各镇（街道）、开发区、区经信局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4.缩短亩均效益评价周期。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强化评价结果应用，最大限度做到亩均效益评价“当年评、当年用”，提升结果应用的时效性，各镇（街道）、开发区要在尽早完成评价土地排摸确认的基础上，在保证评价质量的前提下，集中力量、创新手段，全力缩短评价周期。2021年度亩均效益评价结果力争在2022年3月底前发文公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责任单位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：区经信局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）精准实施评价结果应用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5.严格落实资源要素优化配置政策。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宁波市促进资源要素优化配置推动制造业高质量发展实施办法》要求，叠加运用各类政策措施，正向激励A类企业，帮扶提升B、C类企业，倒逼整治D类企业，通过倒逼机制实现优胜劣汰。区亩均办会同市级相关职能部门，抓好差别化用地、用能、排污、金融、财税等政策制定和应用。各职能部门定期将差别化政策应用情况报送区亩均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责任单位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发改局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、区经信局、区财政局、区自然资源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局、区生态环境分局、区金融办、区税务局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6.全面推进差别化电价征收。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与供电公司的沟通协作，对一户多表、一表多户等情况进行分析研究，进一步厘清被征收D类主体用电户号，提高政策实施对象的精准性和有效性。对亩均效益综合评价D类企业实施差别电价时，严格按照上级、部门有关文件规定，落实差别化电价政策、企业主体、征收标准、公示时间等要求，做到程序履行到位。同时，提早谋划差别电价使用途径，使其更好推动“亩均论英雄”改革，促进制造业转型升级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责任单位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：区经信局、国网奉化供电公司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7.深化高耗低效企业整治。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省经信厅对于高耗低效企业整治提升工作相关要求，紧盯完成率、腾出用能空间、腾出用地空间三个核心指标，进一步提高纺织、造纸、石化、化工、化纤、建材、钢铁等高耗能行业中高耗低效企业认定标准，倒逼一批高耗能行业的高耗低效企业整治提升或淘汰退出。专精特新“小巨人”企业，产业链重点环节企业、本地重点培育企业、民生保障企业等企业可暂不列入整治清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责任单位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：区经信局、区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发改局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、区自然资源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局、区生态环境分局、区应急管理局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）加强部门工作联动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.与国土空间综合整治联动。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土空间综合整治为契机，充分利用第三次国土调查成果，全面核实工业用地，运用信息化技术，基于宗地不动产登记代码实现工业用地上全企业“一码关联”、全信息“一码共享”、全过程“一码管理”，建立“地企融合”动态信息一张图，做到企业与空间对应座位，规上与规下统一管理，切实摸清评价主体用地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责任单位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：区自然资源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局、区经信局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.与“腾笼换鸟”工作联动。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“亩均论英雄”改革作为新一轮制造业“腾笼换鸟、凤凰涅槃”攻坚行动的重要组成部分，通过综合评价、反向倒逼加快劣质企业退出，将有限的资源调配至优质企业。同时，通过“腾笼换鸟、凤凰涅槃”攻坚行动进一步促使“亩均论英雄”改革向广度深度不断推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责任单位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：区经信局、区“腾笼换鸟、凤凰涅槃”攻坚行动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专班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四、进一步强化保障监管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进一步加强区亩均办牵头和综合协调作用，区级部门各司其职，各镇（街道）、开发区充分履行属地职责，不断深化和完善“上下联动、条块结合”，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区、镇（街道）开发区三级联动的工作机制。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.完善数据共享。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各职能部门要明确专人负责“亩均论英雄”改革各项数据共享工作，应定时提供或核对土地、税收、排污等各项亩均效益指标数据，并负责数据的纠偏解释。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.强化考核激励。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完善“亩均论英雄”改革考核评价办法，开展深化“亩均论英雄”改革督查激励工作，聚焦综合评价、改革绩效、高耗低效企业整治、创新亮点等工作内容，结合亩均效益指标、评价面积增长情况、评价企业数量增长情况、评价结果纠偏情况和高耗低效企业整治完成情况对各镇（街道）、开发区进行考核，并对真抓实干成效明显地区予以激励，有效提升各地工作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2022年深化“亩均论英雄”改革工作任务清单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宁波市奉化区深化“亩均论英雄”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改革工作领导小组办公室</w:t>
      </w:r>
    </w:p>
    <w:p>
      <w:pPr>
        <w:adjustRightInd w:val="0"/>
        <w:snapToGrid w:val="0"/>
        <w:spacing w:line="360" w:lineRule="auto"/>
        <w:ind w:firstLine="1920" w:firstLineChars="600"/>
        <w:rPr>
          <w:rFonts w:hint="eastAsia" w:ascii="仿宋_GB2312" w:eastAsia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32"/>
          <w:sz w:val="32"/>
          <w:szCs w:val="32"/>
          <w:lang w:val="en-US" w:eastAsia="zh-CN"/>
        </w:rPr>
        <w:t>（宁波市奉化区经济和信息化局代章）</w:t>
      </w:r>
    </w:p>
    <w:p>
      <w:pPr>
        <w:adjustRightInd w:val="0"/>
        <w:snapToGrid w:val="0"/>
        <w:spacing w:line="360" w:lineRule="auto"/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kern w:val="32"/>
          <w:sz w:val="32"/>
          <w:szCs w:val="32"/>
          <w:lang w:val="en-US" w:eastAsia="zh-CN"/>
        </w:rPr>
        <w:t>2022年3月23日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814" w:left="1531" w:header="851" w:footer="1020" w:gutter="0"/>
          <w:pgNumType w:fmt="numberInDash"/>
          <w:cols w:space="0" w:num="1"/>
          <w:titlePg/>
          <w:rtlGutter w:val="0"/>
          <w:docGrid w:type="lines" w:linePitch="312" w:charSpace="0"/>
        </w:sectPr>
      </w:pPr>
    </w:p>
    <w:p>
      <w:pPr>
        <w:spacing w:line="580" w:lineRule="exact"/>
        <w:jc w:val="left"/>
        <w:rPr>
          <w:rFonts w:ascii="黑体" w:hAnsi="黑体" w:eastAsia="黑体" w:cs="创艺简标宋"/>
          <w:kern w:val="0"/>
          <w:sz w:val="32"/>
          <w:szCs w:val="32"/>
        </w:rPr>
      </w:pPr>
      <w:r>
        <w:rPr>
          <w:rFonts w:hint="eastAsia" w:ascii="黑体" w:hAnsi="黑体" w:eastAsia="黑体" w:cs="创艺简标宋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创艺简标宋" w:hAnsi="创艺简标宋" w:eastAsia="创艺简标宋" w:cs="创艺简标宋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2022年深化“亩均论英雄”改革工作任务清单</w:t>
      </w:r>
    </w:p>
    <w:tbl>
      <w:tblPr>
        <w:tblStyle w:val="5"/>
        <w:tblW w:w="14135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405"/>
        <w:gridCol w:w="2886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tblHeader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工作任务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时间要求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1330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精准开展亩均效益综合评价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结合新一轮“腾笼换鸟、凤凰涅槃”专项攻坚行动，研究制定出台《奉化区工业企业“亩均效益”综合评价办法3.0版》。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区经信局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开展工业用地的排摸。按时完成规上工业企业、3亩以上规下工业企业用地的排摸。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区资规局、区经信局、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各镇（街道）、开发区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坚持企业评价和地块评价相结合的方式。规上工业企业、土地权属清晰的应当使用企业评价；</w:t>
            </w:r>
            <w:r>
              <w:rPr>
                <w:rFonts w:hint="eastAsia" w:ascii="仿宋_GB2312" w:hAnsi="仿宋_GB2312" w:eastAsia="仿宋_GB2312" w:cs="仿宋_GB2312"/>
                <w:kern w:val="32"/>
                <w:sz w:val="28"/>
                <w:szCs w:val="28"/>
              </w:rPr>
              <w:t>对于单宗地块上存在多个经营主体、共租共用等情况且难以明确分割土地面积的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，原则上采用所有宗地合并的形式进行评价。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区经信局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提升工业用地评价覆盖面，各地工业用地原则上要求达到70%以上。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各镇（街道）、开发区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缩短亩均效益评价周期，尽量做到“当年评、当年用”，3月底完成亩均效益综合评价,并发文。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区亩均办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330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精准落实资源要素优化配置政策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格按照《宁波市促进资源要素优化配置推动制造业高质量发展实施办法》要求，叠加运用各类政策措施，正向激励A类企业，帮扶提升B、C类企业，倒逼整治D类企业，通过倒逼机制实现优胜劣汰。区亩均办会同区级各相关职能部门，抓好差别化用地、用能、排污、金融、财税等政策制定和应用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区亩均办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相关职能单位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全面落实差别电价征收政策，强化与国网奉化供电公司的沟通协作，做好被征收D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"/>
              </w:rPr>
              <w:t>类企业主体用电户号匹配，提高政策实施对象的精准性和有效性。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国网奉化供电公司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按照上级、部门文件规定，严格落实差别电价征收主体、征收标准、公示时间等要求，做到程序履行到位。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区亩均办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深入推进高耗低效企业的整治，坚持以亩均效益为抓手，结合新一轮“腾笼换鸟、凤凰涅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”攻坚行动，排摸甄别全区高耗低效企业名单，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倒逼一批高耗能行业的高耗低效企业整治提升或淘汰退出。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区经信局、区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发改局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、区自然资源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局、区生态环境分局、区应急管理局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330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加强部门工作联动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加强与国土空间综合整治联动。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充分利用第三次国土调查成果，全面核实工业用地，运用信息化技术，做到企业与空间对应座位，规上与规下统一管理。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区自然资源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区经信局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加强与腾笼换鸟工作联动。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通过综合评价、反向倒逼加快劣质企业退出，将有限的资源调配至优质企业。同时，通过“腾笼换鸟、凤凰涅槃”攻坚行动进一步促使“亩均论英雄”改革向广度深度不断推进。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信局、区“腾笼换鸟、区“腾笼换鸟、凤凰涅槃”攻坚行动工作专班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1330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楷体_GB2312" w:hAnsi="楷体_GB2312" w:eastAsia="楷体_GB2312" w:cs="楷体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Cs/>
                <w:kern w:val="0"/>
                <w:sz w:val="28"/>
                <w:szCs w:val="28"/>
              </w:rPr>
              <w:t>强化保障监管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加强市亩均办牵头和综合协调作用，区级部门各司其职，各镇（街道）、开发区充分履行属地职责，不断深化和完善“上下联动、条块结合”，市、区、镇（街道）开发区三级联动的工作机制。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区亩均办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健全评价数据汇集共享机制，各职能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应定时提供或核对土地、税收、排污等各项亩均效益指标数据，并负责数据的纠偏解释。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区统计局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区税务局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区自然资源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区生态环境分局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40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制定完善“亩均论英雄”改革考核评价办法，聚焦综合评价、改革绩效、高耗低效企业整治、创新亮点等工作内容，结合亩均效益指标、评价面积增长情况、评价企业数量增长情况、评价结果纠偏情况和高耗低效企业整治完成情况对各镇（街道）、开发区进行考核，并对真抓实干成效明显地区予以激励，有效提升各地工作积极性。</w:t>
            </w:r>
          </w:p>
        </w:tc>
        <w:tc>
          <w:tcPr>
            <w:tcW w:w="288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区亩均办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2022年12月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6838" w:h="11906" w:orient="landscape"/>
          <w:pgMar w:top="1417" w:right="1417" w:bottom="1417" w:left="1417" w:header="851" w:footer="1020" w:gutter="0"/>
          <w:pgNumType w:fmt="numberInDash"/>
          <w:cols w:space="0" w:num="1"/>
          <w:titlePg/>
          <w:rtlGutter w:val="0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2" w:firstLineChars="100"/>
        <w:textAlignment w:val="auto"/>
        <w:rPr>
          <w:rFonts w:hint="eastAsia" w:ascii="仿宋_GB2312" w:hAnsi="仿宋_GB2312" w:eastAsia="仿宋_GB2312" w:cs="仿宋_GB2312"/>
          <w:spacing w:val="-34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2" w:firstLineChars="100"/>
        <w:textAlignment w:val="auto"/>
        <w:rPr>
          <w:rFonts w:hint="eastAsia" w:ascii="仿宋_GB2312" w:hAnsi="仿宋_GB2312" w:eastAsia="仿宋_GB2312" w:cs="仿宋_GB2312"/>
          <w:spacing w:val="-34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84455</wp:posOffset>
                </wp:positionV>
                <wp:extent cx="565785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8210" y="9062085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25pt;margin-top:6.65pt;height:0pt;width:445.5pt;z-index:251659264;mso-width-relative:page;mso-height-relative:page;" filled="f" stroked="t" coordsize="21600,21600" o:gfxdata="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Xo0UUdUA&#10;AAAIAQAADwAAAAAAAAABACAAAAA4AAAAZHJzL2Rvd25yZXYueG1sUEsBAhQAFAAAAAgAh07iQORW&#10;7s/TAQAAcAMAAA4AAAAAAAAAAQAgAAAAOg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341630</wp:posOffset>
                </wp:positionV>
                <wp:extent cx="568642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6785" y="931926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pt;margin-top:26.9pt;height:0pt;width:447.75pt;z-index:251658240;mso-width-relative:page;mso-height-relative:page;" filled="f" stroked="t" coordsize="21600,21600" o:gfxdata="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O/Y&#10;lrrWAAAACAEAAA8AAAAAAAAAAQAgAAAAOAAAAGRycy9kb3ducmV2LnhtbFBLAQIUABQAAAAIAIdO&#10;4kAhaHb61gEAAHADAAAOAAAAAAAAAAEAIAAAADs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34"/>
          <w:kern w:val="0"/>
          <w:sz w:val="28"/>
          <w:szCs w:val="28"/>
        </w:rPr>
        <w:t>宁波市奉化区深化“亩均论英雄”改革工作领导小组办公室</w:t>
      </w:r>
      <w:r>
        <w:rPr>
          <w:rFonts w:hint="eastAsia" w:ascii="仿宋_GB2312" w:hAnsi="仿宋_GB2312" w:eastAsia="仿宋_GB2312" w:cs="仿宋_GB2312"/>
          <w:spacing w:val="-34"/>
          <w:kern w:val="0"/>
          <w:sz w:val="28"/>
          <w:szCs w:val="28"/>
          <w:lang w:val="en-US" w:eastAsia="zh-CN"/>
        </w:rPr>
        <w:t xml:space="preserve">          2022年3月23日印发</w:t>
      </w:r>
    </w:p>
    <w:sectPr>
      <w:pgSz w:w="11906" w:h="16838"/>
      <w:pgMar w:top="2098" w:right="1531" w:bottom="1984" w:left="1531" w:header="851" w:footer="1020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3EDE"/>
    <w:rsid w:val="00531487"/>
    <w:rsid w:val="00A32C4F"/>
    <w:rsid w:val="00E41D5E"/>
    <w:rsid w:val="01EA2E16"/>
    <w:rsid w:val="0FD078CB"/>
    <w:rsid w:val="1A0D793C"/>
    <w:rsid w:val="264050A4"/>
    <w:rsid w:val="27942214"/>
    <w:rsid w:val="320B6D78"/>
    <w:rsid w:val="435E7571"/>
    <w:rsid w:val="46F26C5E"/>
    <w:rsid w:val="4C333B2A"/>
    <w:rsid w:val="62403EDE"/>
    <w:rsid w:val="66E25D45"/>
    <w:rsid w:val="6C816393"/>
    <w:rsid w:val="73061935"/>
    <w:rsid w:val="760D29EC"/>
    <w:rsid w:val="76D809B9"/>
    <w:rsid w:val="7C1A1F7E"/>
    <w:rsid w:val="7CBD62CB"/>
    <w:rsid w:val="DF2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character" w:customStyle="1" w:styleId="8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文字 字符"/>
    <w:basedOn w:val="6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640</Words>
  <Characters>3650</Characters>
  <Lines>30</Lines>
  <Paragraphs>8</Paragraphs>
  <TotalTime>4</TotalTime>
  <ScaleCrop>false</ScaleCrop>
  <LinksUpToDate>false</LinksUpToDate>
  <CharactersWithSpaces>4282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2021-12-28T18:28:00Z</dcterms:created>
  <dc:creator>fyangchun126com</dc:creator>
  <cp:lastModifiedBy>thtf</cp:lastModifiedBy>
  <dcterms:modified xsi:type="dcterms:W3CDTF">2022-03-23T17:41:27Z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8580D99001494043BB1EE2DA25788994</vt:lpwstr>
  </property>
</Properties>
</file>