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555" w:lineRule="atLeast"/>
        <w:jc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起草说明</w:t>
      </w:r>
    </w:p>
    <w:p/>
    <w:p>
      <w:pPr>
        <w:numPr>
          <w:ilvl w:val="0"/>
          <w:numId w:val="1"/>
        </w:numPr>
        <w:ind w:left="64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起草背景和依据</w:t>
      </w:r>
    </w:p>
    <w:p>
      <w:pPr>
        <w:spacing w:line="560" w:lineRule="exact"/>
        <w:ind w:firstLine="640" w:firstLineChars="200"/>
        <w:jc w:val="both"/>
        <w:rPr>
          <w:rFonts w:hint="default" w:ascii="黑体" w:hAnsi="黑体" w:eastAsia="黑体" w:cs="黑体"/>
          <w:kern w:val="0"/>
          <w:sz w:val="32"/>
          <w:szCs w:val="32"/>
          <w:lang w:val="en-US" w:eastAsia="zh-CN"/>
        </w:rPr>
      </w:pPr>
      <w:r>
        <w:rPr>
          <w:rFonts w:hint="eastAsia" w:ascii="仿宋_GB2312" w:hAnsi="仿宋_GB2312" w:eastAsia="仿宋_GB2312" w:cs="仿宋_GB2312"/>
          <w:color w:val="000000"/>
          <w:kern w:val="0"/>
          <w:sz w:val="32"/>
          <w:szCs w:val="32"/>
          <w:shd w:val="clear" w:color="auto" w:fill="FFFFFF"/>
          <w:lang w:val="en-US" w:eastAsia="zh-CN" w:bidi="ar"/>
        </w:rPr>
        <w:t>根据《预算法》第六十七条之规定，“经全国人民代表大会批准的中央预算和经地方各级人民代表大会批准的地方各级预算，在执行中出现下列情况之一的 ，应当进行预算调整：（一）需要增加或者减少预算总支出的；（二）需要调入预算稳定调节基金的；（三）需要调减预算安排的重点支出数额的；（四）需要增加举借债务数额的。</w:t>
      </w:r>
      <w:r>
        <w:rPr>
          <w:rFonts w:hint="eastAsia" w:ascii="黑体" w:hAnsi="黑体" w:eastAsia="黑体" w:cs="黑体"/>
          <w:kern w:val="0"/>
          <w:sz w:val="32"/>
          <w:szCs w:val="32"/>
          <w:lang w:val="en-US" w:eastAsia="zh-CN"/>
        </w:rPr>
        <w:t>”</w:t>
      </w:r>
    </w:p>
    <w:p>
      <w:pPr>
        <w:spacing w:line="560" w:lineRule="exact"/>
        <w:ind w:firstLine="640" w:firstLineChars="200"/>
        <w:jc w:val="both"/>
        <w:rPr>
          <w:rFonts w:ascii="黑体" w:hAnsi="黑体" w:eastAsia="黑体" w:cs="黑体"/>
          <w:kern w:val="0"/>
          <w:sz w:val="32"/>
          <w:szCs w:val="32"/>
        </w:rPr>
      </w:pPr>
      <w:r>
        <w:rPr>
          <w:rFonts w:hint="eastAsia" w:ascii="黑体" w:hAnsi="黑体" w:eastAsia="黑体" w:cs="黑体"/>
          <w:kern w:val="0"/>
          <w:sz w:val="32"/>
          <w:szCs w:val="32"/>
        </w:rPr>
        <w:t>二、制定意义和总体考虑</w:t>
      </w:r>
    </w:p>
    <w:p>
      <w:pPr>
        <w:widowControl/>
        <w:spacing w:line="560" w:lineRule="exact"/>
        <w:ind w:firstLine="632"/>
        <w:jc w:val="both"/>
        <w:rPr>
          <w:rFonts w:hint="eastAsia" w:ascii="仿宋_GB2312" w:hAnsi="仿宋_GB2312" w:eastAsia="仿宋_GB2312" w:cs="仿宋_GB2312"/>
          <w:color w:val="00000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val="en-US" w:eastAsia="zh-CN" w:bidi="ar"/>
        </w:rPr>
        <w:t>预算调整是预算正式批准下达后，由于特定原因，按照规定程序对预算进行修改和完善。由于预算编制时往往存在较多不可预知或难以完全预测的因素，当预算执行过程中的实际情况较预测发生变化时，对预算进行及时调整能确保预算顺利执行，同时能更全面、真实、完整反映财政经济运行状况。</w:t>
      </w:r>
      <w:r>
        <w:rPr>
          <w:rFonts w:hint="eastAsia" w:ascii="仿宋_GB2312" w:hAnsi="仿宋" w:eastAsia="仿宋_GB2312" w:cs="仿宋_GB2312"/>
          <w:kern w:val="2"/>
          <w:sz w:val="32"/>
          <w:szCs w:val="32"/>
          <w:lang w:eastAsia="zh-CN"/>
        </w:rPr>
        <w:t>为进一步完善预算管理制度，发挥财政在国家治理中的基础和重要支柱作用，更加有效保障和改善民生，认真落实政府过紧日子要求，强化预算对落实党和国家重大政策的保障能力，实现有限公共资源与政策目标有效匹配，</w:t>
      </w:r>
      <w:r>
        <w:rPr>
          <w:rFonts w:hint="eastAsia" w:ascii="仿宋_GB2312" w:hAnsi="仿宋_GB2312" w:eastAsia="仿宋_GB2312" w:cs="仿宋_GB2312"/>
          <w:color w:val="000000"/>
          <w:kern w:val="0"/>
          <w:sz w:val="32"/>
          <w:szCs w:val="32"/>
          <w:shd w:val="clear" w:color="auto" w:fill="FFFFFF"/>
          <w:lang w:val="en-US" w:eastAsia="zh-CN" w:bidi="ar"/>
        </w:rPr>
        <w:t>在预算执行中，对必须进行的预算调整，应当编制调整方案，并按照规定程序提请审查和批准，既是对《预算法》的严格执行，又是贴合实际的必要措施。</w:t>
      </w:r>
    </w:p>
    <w:p>
      <w:pPr>
        <w:pStyle w:val="4"/>
        <w:jc w:val="both"/>
        <w:rPr>
          <w:rFonts w:hint="eastAsia" w:ascii="黑体" w:hAnsi="黑体" w:eastAsia="黑体" w:cs="黑体"/>
          <w:color w:val="000000"/>
          <w:kern w:val="0"/>
          <w:sz w:val="32"/>
          <w:szCs w:val="32"/>
          <w:shd w:val="clear" w:color="auto" w:fill="FFFFFF"/>
          <w:lang w:eastAsia="zh-CN" w:bidi="ar"/>
        </w:rPr>
      </w:pPr>
      <w:r>
        <w:rPr>
          <w:rFonts w:hint="eastAsia" w:ascii="黑体" w:hAnsi="黑体" w:eastAsia="黑体" w:cs="黑体"/>
          <w:color w:val="000000"/>
          <w:kern w:val="0"/>
          <w:sz w:val="32"/>
          <w:szCs w:val="32"/>
          <w:shd w:val="clear" w:color="auto" w:fill="FFFFFF"/>
          <w:lang w:eastAsia="zh-CN" w:bidi="ar"/>
        </w:rPr>
        <w:t>三、起草过程</w:t>
      </w:r>
    </w:p>
    <w:p>
      <w:pPr>
        <w:pStyle w:val="6"/>
        <w:numPr>
          <w:ilvl w:val="0"/>
          <w:numId w:val="0"/>
        </w:numPr>
        <w:adjustRightInd w:val="0"/>
        <w:snapToGrid w:val="0"/>
        <w:spacing w:before="0" w:beforeAutospacing="0" w:after="0" w:afterAutospacing="0" w:line="360" w:lineRule="auto"/>
        <w:ind w:firstLine="640"/>
        <w:jc w:val="both"/>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区</w:t>
      </w:r>
      <w:r>
        <w:rPr>
          <w:rFonts w:hint="eastAsia" w:ascii="仿宋_GB2312" w:hAnsi="仿宋" w:eastAsia="仿宋_GB2312" w:cs="仿宋_GB2312"/>
          <w:sz w:val="32"/>
          <w:szCs w:val="32"/>
        </w:rPr>
        <w:t>财政</w:t>
      </w:r>
      <w:r>
        <w:rPr>
          <w:rFonts w:hint="eastAsia" w:ascii="仿宋_GB2312" w:hAnsi="仿宋" w:eastAsia="仿宋_GB2312" w:cs="仿宋_GB2312"/>
          <w:sz w:val="32"/>
          <w:szCs w:val="32"/>
          <w:lang w:val="en-US" w:eastAsia="zh-CN"/>
        </w:rPr>
        <w:t>局于9月初启动</w:t>
      </w:r>
      <w:r>
        <w:rPr>
          <w:rFonts w:ascii="仿宋_GB2312" w:hAnsi="仿宋" w:eastAsia="仿宋_GB2312" w:cs="仿宋_GB2312"/>
          <w:sz w:val="32"/>
          <w:szCs w:val="32"/>
        </w:rPr>
        <w:t>预算调整方案编制</w:t>
      </w:r>
      <w:r>
        <w:rPr>
          <w:rFonts w:hint="eastAsia" w:ascii="仿宋_GB2312" w:hAnsi="仿宋" w:eastAsia="仿宋_GB2312" w:cs="仿宋_GB2312"/>
          <w:sz w:val="32"/>
          <w:szCs w:val="32"/>
        </w:rPr>
        <w:t>，</w:t>
      </w:r>
      <w:r>
        <w:rPr>
          <w:rFonts w:ascii="仿宋_GB2312" w:hAnsi="仿宋" w:eastAsia="仿宋_GB2312" w:cs="仿宋_GB2312"/>
          <w:sz w:val="32"/>
          <w:szCs w:val="32"/>
        </w:rPr>
        <w:t>预算调整方案应当说明预算调整的理由、项目和数额</w:t>
      </w:r>
      <w:r>
        <w:rPr>
          <w:rFonts w:hint="eastAsia" w:ascii="仿宋_GB2312" w:hAnsi="仿宋" w:eastAsia="仿宋_GB2312" w:cs="仿宋_GB2312"/>
          <w:sz w:val="32"/>
          <w:szCs w:val="32"/>
          <w:lang w:eastAsia="zh-CN"/>
        </w:rPr>
        <w:t>。预算调整方案初稿完成后，</w:t>
      </w:r>
      <w:r>
        <w:rPr>
          <w:rFonts w:hint="eastAsia" w:ascii="仿宋_GB2312" w:hAnsi="仿宋" w:eastAsia="仿宋_GB2312" w:cs="仿宋_GB2312"/>
          <w:sz w:val="32"/>
          <w:szCs w:val="32"/>
          <w:lang w:val="en-US" w:eastAsia="zh-CN"/>
        </w:rPr>
        <w:t>区财政局将预算调整方案提交区政府审批，审批通过后按程序提交区人大有关专门委员会初审。区财政局按照区人大有关专门委员会初审意见，研究、修改完善预算调整方案，形成此份《宁波市奉化区2022年预算调整方案</w:t>
      </w:r>
      <w:bookmarkStart w:id="0" w:name="_GoBack"/>
      <w:bookmarkEnd w:id="0"/>
      <w:r>
        <w:rPr>
          <w:rFonts w:hint="eastAsia" w:ascii="仿宋_GB2312" w:hAnsi="仿宋" w:eastAsia="仿宋_GB2312" w:cs="仿宋_GB2312"/>
          <w:sz w:val="32"/>
          <w:szCs w:val="32"/>
          <w:lang w:val="en-US" w:eastAsia="zh-CN"/>
        </w:rPr>
        <w:t>》。</w:t>
      </w:r>
    </w:p>
    <w:p>
      <w:pPr>
        <w:pStyle w:val="6"/>
        <w:numPr>
          <w:ilvl w:val="0"/>
          <w:numId w:val="0"/>
        </w:numPr>
        <w:adjustRightInd w:val="0"/>
        <w:snapToGrid w:val="0"/>
        <w:spacing w:before="0" w:beforeAutospacing="0" w:after="0" w:afterAutospacing="0" w:line="360" w:lineRule="auto"/>
        <w:jc w:val="right"/>
        <w:rPr>
          <w:rFonts w:hint="eastAsia" w:ascii="仿宋_GB2312" w:hAnsi="仿宋_GB2312" w:eastAsia="仿宋_GB2312" w:cs="仿宋_GB2312"/>
          <w:color w:val="000000"/>
          <w:kern w:val="0"/>
          <w:sz w:val="32"/>
          <w:szCs w:val="32"/>
          <w:shd w:val="clear" w:color="auto" w:fill="FFFFFF"/>
          <w:lang w:val="en-US" w:eastAsia="zh-CN" w:bidi="ar"/>
        </w:rPr>
      </w:pPr>
    </w:p>
    <w:p>
      <w:pPr>
        <w:pStyle w:val="6"/>
        <w:numPr>
          <w:ilvl w:val="0"/>
          <w:numId w:val="0"/>
        </w:numPr>
        <w:adjustRightInd w:val="0"/>
        <w:snapToGrid w:val="0"/>
        <w:spacing w:before="0" w:beforeAutospacing="0" w:after="0" w:afterAutospacing="0" w:line="360" w:lineRule="auto"/>
        <w:jc w:val="right"/>
        <w:rPr>
          <w:rFonts w:hint="eastAsia" w:ascii="仿宋_GB2312" w:hAnsi="仿宋_GB2312" w:eastAsia="仿宋_GB2312" w:cs="仿宋_GB2312"/>
          <w:color w:val="00000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val="en-US" w:eastAsia="zh-CN" w:bidi="ar"/>
        </w:rPr>
        <w:t>宁波市奉化区财政局</w:t>
      </w:r>
    </w:p>
    <w:p>
      <w:pPr>
        <w:pStyle w:val="6"/>
        <w:numPr>
          <w:ilvl w:val="0"/>
          <w:numId w:val="0"/>
        </w:numPr>
        <w:wordWrap w:val="0"/>
        <w:adjustRightInd w:val="0"/>
        <w:snapToGrid w:val="0"/>
        <w:spacing w:before="0" w:beforeAutospacing="0" w:after="0" w:afterAutospacing="0" w:line="360" w:lineRule="auto"/>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shd w:val="clear" w:color="auto" w:fill="FFFFFF"/>
          <w:lang w:val="en-US" w:eastAsia="zh-CN" w:bidi="ar"/>
        </w:rPr>
        <w:t xml:space="preserve">                               2022年10月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eastAsiaTheme="minorEastAsia"/>
          <w:lang w:eastAsia="zh-CN"/>
        </w:rPr>
      </w:pPr>
    </w:p>
    <w:p>
      <w:pPr>
        <w:jc w:val="left"/>
        <w:rPr>
          <w:rFonts w:hint="default" w:ascii="仿宋_GB2312" w:hAnsi="仿宋_GB2312" w:eastAsia="仿宋_GB2312" w:cs="仿宋_GB2312"/>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2010600030101010101"/>
    <w:charset w:val="7A"/>
    <w:family w:val="auto"/>
    <w:pitch w:val="default"/>
    <w:sig w:usb0="00000000" w:usb1="00000000" w:usb2="00000006" w:usb3="00000000" w:csb0="00040001"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_GBK">
    <w:altName w:val="汉仪书宋二KW"/>
    <w:panose1 w:val="00000000000000000000"/>
    <w:charset w:val="86"/>
    <w:family w:val="auto"/>
    <w:pitch w:val="default"/>
    <w:sig w:usb0="00000000" w:usb1="00000000" w:usb2="00000000" w:usb3="00000000" w:csb0="00040000" w:csb1="00000000"/>
  </w:font>
  <w:font w:name="仿宋_GB2312">
    <w:altName w:val="汉仪仿宋KW"/>
    <w:panose1 w:val="02010609030101010101"/>
    <w:charset w:val="86"/>
    <w:family w:val="auto"/>
    <w:pitch w:val="default"/>
    <w:sig w:usb0="00000000" w:usb1="00000000" w:usb2="00000000" w:usb3="00000000" w:csb0="00040000" w:csb1="00000000"/>
  </w:font>
  <w:font w:name="仿宋">
    <w:altName w:val="汉仪仿宋KW"/>
    <w:panose1 w:val="02010609060101010101"/>
    <w:charset w:val="86"/>
    <w:family w:val="auto"/>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CFE780"/>
    <w:multiLevelType w:val="singleLevel"/>
    <w:tmpl w:val="E8CFE780"/>
    <w:lvl w:ilvl="0" w:tentative="0">
      <w:start w:val="1"/>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852810"/>
    <w:rsid w:val="0A804D9C"/>
    <w:rsid w:val="0D35609F"/>
    <w:rsid w:val="113E0853"/>
    <w:rsid w:val="16D10133"/>
    <w:rsid w:val="19DA1936"/>
    <w:rsid w:val="1BF94DF2"/>
    <w:rsid w:val="1C723C7F"/>
    <w:rsid w:val="2623426F"/>
    <w:rsid w:val="2BCE58B9"/>
    <w:rsid w:val="32D826E0"/>
    <w:rsid w:val="38B87747"/>
    <w:rsid w:val="3B9A5BA3"/>
    <w:rsid w:val="3CB727AA"/>
    <w:rsid w:val="3F7124B7"/>
    <w:rsid w:val="42110C78"/>
    <w:rsid w:val="4A576487"/>
    <w:rsid w:val="4AAC1399"/>
    <w:rsid w:val="5F571493"/>
    <w:rsid w:val="60852810"/>
    <w:rsid w:val="637B1DC3"/>
    <w:rsid w:val="643806BF"/>
    <w:rsid w:val="6EBA3BF5"/>
    <w:rsid w:val="6FFF780B"/>
    <w:rsid w:val="75BE4392"/>
    <w:rsid w:val="762C4EBA"/>
    <w:rsid w:val="782E6719"/>
    <w:rsid w:val="7BB71F14"/>
    <w:rsid w:val="7C7470D7"/>
    <w:rsid w:val="7DFF6E74"/>
    <w:rsid w:val="7FF6EE8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customStyle="1" w:styleId="2">
    <w:name w:val="Body Text First Indent 21"/>
    <w:basedOn w:val="3"/>
    <w:qFormat/>
    <w:uiPriority w:val="99"/>
    <w:pPr>
      <w:ind w:firstLine="420" w:firstLineChars="200"/>
    </w:pPr>
    <w:rPr>
      <w:rFonts w:ascii="Calibri" w:hAnsi="Calibri"/>
    </w:rPr>
  </w:style>
  <w:style w:type="paragraph" w:customStyle="1" w:styleId="3">
    <w:name w:val="Body Text Indent1"/>
    <w:basedOn w:val="1"/>
    <w:qFormat/>
    <w:uiPriority w:val="99"/>
    <w:pPr>
      <w:ind w:left="420" w:leftChars="200"/>
    </w:pPr>
  </w:style>
  <w:style w:type="paragraph" w:styleId="4">
    <w:name w:val="Normal Indent"/>
    <w:basedOn w:val="1"/>
    <w:unhideWhenUsed/>
    <w:qFormat/>
    <w:uiPriority w:val="99"/>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Normal (Web)"/>
    <w:basedOn w:val="1"/>
    <w:uiPriority w:val="0"/>
    <w:pPr>
      <w:widowControl/>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2022-10-20T16:42:00Z</dcterms:created>
  <dc:creator>Administrator</dc:creator>
  <cp:lastModifiedBy>褚立峰</cp:lastModifiedBy>
  <dcterms:modified xsi:type="dcterms:W3CDTF">2022-10-28T15:01:01Z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web</vt:lpwstr>
  </property>
  <property fmtid="{D5CDD505-2E9C-101B-9397-08002B2CF9AE}" pid="4" name="woTemplate" linkTarget="0">
    <vt:i4>1</vt:i4>
  </property>
</Properties>
</file>