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44"/>
          <w:szCs w:val="44"/>
          <w:lang w:val="en-US" w:eastAsia="zh-CN"/>
        </w:rPr>
        <w:t>《奉化区非物质文化遗产代表性传承人认定与管理办法（试行）起草说明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一、起草背景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为加强非物质文化遗产区域性整体保护，传承弘扬中华优秀传统文化，进一步规范我区非物质文化遗产代表性传承人的认定和管理工作。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国家级非物质文化遗产代表性传承人认定与管理办法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》、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《浙江省省级非物质文化遗产代表性传承人管理办法》、《宁波市非物质文化遗产代表性传承人认定与管理暂行办法》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等文件精神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，，结合我区实际，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特制定本管理办法。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二、主要内容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（一）认定范围。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区非物质文化遗产代表性传承人，是指已列入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区非物质文化遗产名录项目的有代表性的传承人。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认定程序。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认定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区非物质文化遗产代表性传承人，应经申报、审核、评审、公示、命名等程序。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（三）认定条件：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传承项目必须是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区非物质文化遗产名录项目；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必须依托区级非物质文化遗产传承基地开展传承活动；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掌握某项非物质文化遗产的表演艺术、传统工艺、制作技艺等表现形态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的知识和核心技艺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在一定区域内被公认具有代表性或者较大影响；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积极开展传承活动，培养后继人才。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6.爱国敬业，遵纪守法，德艺双馨。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从事非物质文化遗产资料收集、整理和研究的人员不得认定为区级非物质文化遗产代表性传承人。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（四）申报流程。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区非物质文化遗产代表性传承人的申报，由个人向所在传承基地提出申请，由传承基地推荐至当地镇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人民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政府、街道办事处。各镇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人民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政府、街道办事处进行汇总、筛选后，向</w:t>
      </w:r>
      <w:r>
        <w:rPr>
          <w:rFonts w:hint="eastAsia" w:ascii="仿宋_GB2312" w:eastAsia="仿宋_GB2312"/>
          <w:color w:val="auto"/>
          <w:sz w:val="32"/>
          <w:szCs w:val="32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文化和广电旅游体育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申报。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（五）提供材料：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区非物质文化遗产代表性传承人申报表；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本人在该项遗产中的习艺时间和实践经历；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本人在该项目历史传承谱系中的序位，与同一地区、同一辈份的传承人之间的不同艺术特色；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本人在该遗产项目的传承、发展中的艺术成就及相关荣誉；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本人在区级传承基地传承该项目的证明。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（六）认定时间。奉化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区非物质文化遗产代表性传承人两年命名一次。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（七）传承人义务：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积极开展传习活动，带徒传艺，培养新人； 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积极参加该项目的宣传、展演活动；</w:t>
      </w:r>
    </w:p>
    <w:p>
      <w:pPr>
        <w:spacing w:line="580" w:lineRule="atLeas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积极配合有关部门做好该项非物质文化遗产历史渊源、传承谱系、传统技艺等记录、整理工作；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积极采取措施，完整地保存该项非物质文化遗产有关原始资料、实物。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（八）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取消代表性传承人资格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条件：</w:t>
      </w:r>
    </w:p>
    <w:p>
      <w:pPr>
        <w:spacing w:line="580" w:lineRule="atLeast"/>
        <w:ind w:firstLine="640" w:firstLineChars="200"/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丧失中华人民共和国国籍的；</w:t>
      </w:r>
    </w:p>
    <w:p>
      <w:pPr>
        <w:spacing w:line="580" w:lineRule="atLeast"/>
        <w:ind w:firstLine="640" w:firstLineChars="200"/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  <w:t>采取弄虚作假等不正当手段取得资格的；</w:t>
      </w:r>
    </w:p>
    <w:p>
      <w:pPr>
        <w:spacing w:line="580" w:lineRule="atLeast"/>
        <w:ind w:firstLine="640" w:firstLineChars="200"/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无正当理由不履行义务的；</w:t>
      </w:r>
    </w:p>
    <w:p>
      <w:pPr>
        <w:spacing w:line="580" w:lineRule="atLeast"/>
        <w:ind w:firstLine="640" w:firstLineChars="200"/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违反法律法规或者违背社会公德，造成重大不良社会影响的；</w:t>
      </w:r>
    </w:p>
    <w:p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自愿放弃或者其他应当取消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区</w:t>
      </w:r>
      <w:r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级非物质文化遗产代表性传承人资格的情形。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MmY5MTI1OGMyNmY1NGM3MTg0ODEwNmE1M2UwNGQifQ=="/>
  </w:docVars>
  <w:rsids>
    <w:rsidRoot w:val="52F96144"/>
    <w:rsid w:val="1FAD5941"/>
    <w:rsid w:val="52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1008</Words>
  <Characters>1028</Characters>
  <Lines>0</Lines>
  <Paragraphs>0</Paragraphs>
  <TotalTime>1</TotalTime>
  <ScaleCrop>false</ScaleCrop>
  <LinksUpToDate>false</LinksUpToDate>
  <CharactersWithSpaces>1029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2022-09-16T04:34:00Z</dcterms:created>
  <dc:creator>区文化广电新闻出版局-周剑军</dc:creator>
  <cp:lastModifiedBy>区文化广电新闻出版局-周剑军</cp:lastModifiedBy>
  <dcterms:modified xsi:type="dcterms:W3CDTF">2022-09-16T05:18:02Z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C4F51AB415CB473CBE81DC082C4B12F1</vt:lpwstr>
  </property>
</Properties>
</file>