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宋体" w:hAnsi="宋体" w:eastAsia="方正小标宋简体"/>
          <w:sz w:val="44"/>
          <w:szCs w:val="32"/>
          <w:lang w:val="en-US" w:eastAsia="zh-CN"/>
        </w:rPr>
      </w:pPr>
      <w:r>
        <w:rPr>
          <w:rFonts w:hint="eastAsia" w:ascii="方正小标宋简体" w:hAnsi="新宋体" w:eastAsia="方正小标宋简体" w:cs="Times New Roman"/>
          <w:sz w:val="44"/>
          <w:szCs w:val="44"/>
          <w:lang w:eastAsia="zh-CN"/>
        </w:rPr>
        <w:t>奉化区西坞</w:t>
      </w:r>
      <w:r>
        <w:rPr>
          <w:rFonts w:hint="eastAsia" w:ascii="方正小标宋简体" w:hAnsi="新宋体" w:eastAsia="方正小标宋简体" w:cs="Times New Roman"/>
          <w:sz w:val="44"/>
          <w:szCs w:val="44"/>
        </w:rPr>
        <w:t>街道</w:t>
      </w:r>
      <w:r>
        <w:rPr>
          <w:rFonts w:hint="eastAsia" w:ascii="方正小标宋简体" w:hAnsi="新宋体" w:eastAsia="方正小标宋简体" w:cs="Times New Roman"/>
          <w:sz w:val="44"/>
          <w:szCs w:val="44"/>
          <w:lang w:eastAsia="zh-CN"/>
        </w:rPr>
        <w:t>办事处</w:t>
      </w:r>
      <w:r>
        <w:rPr>
          <w:rFonts w:hint="eastAsia" w:ascii="方正小标宋简体" w:hAnsi="新宋体" w:eastAsia="方正小标宋简体" w:cs="Times New Roman"/>
          <w:sz w:val="44"/>
          <w:szCs w:val="44"/>
        </w:rPr>
        <w:t>20</w:t>
      </w:r>
      <w:r>
        <w:rPr>
          <w:rFonts w:hint="eastAsia" w:ascii="方正小标宋简体" w:hAnsi="新宋体" w:eastAsia="方正小标宋简体" w:cs="Times New Roman"/>
          <w:sz w:val="44"/>
          <w:szCs w:val="44"/>
          <w:lang w:val="en-US" w:eastAsia="zh-CN"/>
        </w:rPr>
        <w:t>21</w:t>
      </w:r>
      <w:r>
        <w:rPr>
          <w:rFonts w:hint="eastAsia" w:ascii="方正小标宋简体" w:hAnsi="新宋体" w:eastAsia="方正小标宋简体" w:cs="Times New Roman"/>
          <w:sz w:val="44"/>
          <w:szCs w:val="44"/>
        </w:rPr>
        <w:t>年</w:t>
      </w:r>
      <w:r>
        <w:rPr>
          <w:rFonts w:hint="eastAsia" w:ascii="方正小标宋简体" w:hAnsi="新宋体" w:eastAsia="方正小标宋简体" w:cs="Times New Roman"/>
          <w:sz w:val="44"/>
          <w:szCs w:val="44"/>
          <w:lang w:eastAsia="zh-CN"/>
        </w:rPr>
        <w:t>度政务</w:t>
      </w:r>
      <w:r>
        <w:rPr>
          <w:rFonts w:hint="eastAsia" w:ascii="方正小标宋简体" w:hAnsi="新宋体" w:eastAsia="方正小标宋简体" w:cs="Times New Roman"/>
          <w:sz w:val="44"/>
          <w:szCs w:val="44"/>
        </w:rPr>
        <w:t>公开</w:t>
      </w:r>
      <w:r>
        <w:rPr>
          <w:rFonts w:hint="eastAsia" w:ascii="方正小标宋简体" w:hAnsi="新宋体" w:eastAsia="方正小标宋简体" w:cs="Times New Roman"/>
          <w:sz w:val="44"/>
          <w:szCs w:val="44"/>
          <w:lang w:eastAsia="zh-CN"/>
        </w:rPr>
        <w:t>工作总结和</w:t>
      </w:r>
      <w:r>
        <w:rPr>
          <w:rFonts w:hint="eastAsia" w:ascii="方正小标宋简体" w:hAnsi="新宋体" w:eastAsia="方正小标宋简体" w:cs="Times New Roman"/>
          <w:sz w:val="44"/>
          <w:szCs w:val="44"/>
          <w:lang w:val="en-US" w:eastAsia="zh-CN"/>
        </w:rPr>
        <w:t>2022年工作思路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sz w:val="4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由宁波市奉化区西坞街道办事处根据《中华人民共和国政府信息公开条例》的要求编制而成，全文内容包括总体情况、主动公开政府信息情况、收到和处理政府信息公开申请情况、政府信息公开行政复议和行政诉讼情况、存在的主要问题及改进情况、其他需要报告的事项6方面。本年度报告中所列明的统计期限从2021年1月1日至2021年12月31日止。本年度报告电子版可从宁波市奉化区人民政府网站（http://www.fh.gov.cn/）下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pacing w:val="-4"/>
          <w:sz w:val="32"/>
          <w:szCs w:val="32"/>
          <w:lang w:val="en-US" w:eastAsia="zh-CN"/>
        </w:rPr>
      </w:pPr>
      <w:r>
        <w:rPr>
          <w:rFonts w:hint="eastAsia" w:ascii="楷体" w:hAnsi="楷体" w:eastAsia="楷体" w:cs="楷体"/>
          <w:kern w:val="2"/>
          <w:sz w:val="32"/>
          <w:szCs w:val="32"/>
          <w:lang w:val="en-US" w:eastAsia="zh-CN" w:bidi="ar-SA"/>
        </w:rPr>
        <w:t>（一）主动公开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2021年，西坞街道办事处深入贯彻落实</w:t>
      </w:r>
      <w:r>
        <w:rPr>
          <w:rFonts w:hint="eastAsia" w:ascii="仿宋_GB2312" w:hAnsi="仿宋_GB2312" w:eastAsia="仿宋_GB2312" w:cs="仿宋_GB2312"/>
          <w:sz w:val="32"/>
          <w:szCs w:val="32"/>
          <w:lang w:eastAsia="zh-CN"/>
        </w:rPr>
        <w:t>《中华人民共和国</w:t>
      </w:r>
      <w:bookmarkStart w:id="0" w:name="_GoBack"/>
      <w:bookmarkEnd w:id="0"/>
      <w:r>
        <w:rPr>
          <w:rFonts w:hint="eastAsia" w:ascii="仿宋_GB2312" w:hAnsi="仿宋_GB2312" w:eastAsia="仿宋_GB2312" w:cs="仿宋_GB2312"/>
          <w:sz w:val="32"/>
          <w:szCs w:val="32"/>
          <w:lang w:eastAsia="zh-CN"/>
        </w:rPr>
        <w:t>政府信息公开条例》，根据《</w:t>
      </w:r>
      <w:r>
        <w:rPr>
          <w:rFonts w:hint="eastAsia" w:ascii="仿宋_GB2312" w:hAnsi="仿宋_GB2312" w:eastAsia="仿宋_GB2312" w:cs="仿宋_GB2312"/>
          <w:sz w:val="32"/>
          <w:szCs w:val="32"/>
          <w:lang w:val="en-US" w:eastAsia="zh-CN"/>
        </w:rPr>
        <w:t>2021年宁波市奉化区政务公开工作要点</w:t>
      </w:r>
      <w:r>
        <w:rPr>
          <w:rFonts w:hint="eastAsia" w:ascii="仿宋_GB2312" w:hAnsi="仿宋_GB2312" w:eastAsia="仿宋_GB2312" w:cs="仿宋_GB2312"/>
          <w:sz w:val="32"/>
          <w:szCs w:val="32"/>
          <w:lang w:eastAsia="zh-CN"/>
        </w:rPr>
        <w:t>》，以提升政务公开工作质量为主线，加大</w:t>
      </w:r>
      <w:r>
        <w:rPr>
          <w:rFonts w:hint="eastAsia" w:ascii="仿宋_GB2312" w:hAnsi="仿宋_GB2312" w:eastAsia="仿宋_GB2312" w:cs="仿宋_GB2312"/>
          <w:color w:val="000000"/>
          <w:spacing w:val="-4"/>
          <w:sz w:val="32"/>
          <w:szCs w:val="32"/>
        </w:rPr>
        <w:t>政府信息</w:t>
      </w:r>
      <w:r>
        <w:rPr>
          <w:rFonts w:hint="eastAsia" w:ascii="仿宋_GB2312" w:hAnsi="仿宋_GB2312" w:eastAsia="仿宋_GB2312" w:cs="仿宋_GB2312"/>
          <w:color w:val="000000"/>
          <w:spacing w:val="-4"/>
          <w:sz w:val="32"/>
          <w:szCs w:val="32"/>
          <w:lang w:eastAsia="zh-CN"/>
        </w:rPr>
        <w:t>公开力度，全年主动公开政府信息</w:t>
      </w:r>
      <w:r>
        <w:rPr>
          <w:rFonts w:hint="eastAsia" w:ascii="仿宋_GB2312" w:hAnsi="仿宋_GB2312" w:eastAsia="仿宋_GB2312" w:cs="仿宋_GB2312"/>
          <w:color w:val="000000"/>
          <w:spacing w:val="-4"/>
          <w:sz w:val="32"/>
          <w:szCs w:val="32"/>
          <w:lang w:val="en-US" w:eastAsia="zh-CN"/>
        </w:rPr>
        <w:t>405</w:t>
      </w:r>
      <w:r>
        <w:rPr>
          <w:rFonts w:hint="eastAsia" w:ascii="仿宋_GB2312" w:hAnsi="仿宋_GB2312" w:eastAsia="仿宋_GB2312" w:cs="仿宋_GB2312"/>
          <w:color w:val="000000"/>
          <w:spacing w:val="-4"/>
          <w:sz w:val="32"/>
          <w:szCs w:val="32"/>
          <w:lang w:eastAsia="zh-CN"/>
        </w:rPr>
        <w:t>条，其中政府网站</w:t>
      </w:r>
      <w:r>
        <w:rPr>
          <w:rFonts w:hint="eastAsia" w:ascii="仿宋_GB2312" w:hAnsi="仿宋_GB2312" w:eastAsia="仿宋_GB2312" w:cs="仿宋_GB2312"/>
          <w:color w:val="auto"/>
          <w:spacing w:val="-4"/>
          <w:sz w:val="32"/>
          <w:szCs w:val="32"/>
          <w:lang w:val="en-US" w:eastAsia="zh-CN"/>
        </w:rPr>
        <w:t>141</w:t>
      </w:r>
      <w:r>
        <w:rPr>
          <w:rFonts w:hint="eastAsia" w:ascii="仿宋_GB2312" w:hAnsi="仿宋_GB2312" w:eastAsia="仿宋_GB2312" w:cs="仿宋_GB2312"/>
          <w:color w:val="auto"/>
          <w:spacing w:val="-4"/>
          <w:sz w:val="32"/>
          <w:szCs w:val="32"/>
        </w:rPr>
        <w:t>条</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000000"/>
          <w:spacing w:val="-4"/>
          <w:sz w:val="32"/>
          <w:szCs w:val="32"/>
          <w:lang w:val="en-US" w:eastAsia="zh-CN"/>
        </w:rPr>
        <w:t>官方微信264条，做到应公开尽公开。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楷体" w:hAnsi="楷体" w:eastAsia="楷体" w:cs="楷体"/>
          <w:kern w:val="2"/>
          <w:sz w:val="32"/>
          <w:szCs w:val="32"/>
          <w:lang w:val="en-US" w:eastAsia="zh-CN" w:bidi="ar-SA"/>
        </w:rPr>
        <w:t>（二）依申请公开情况。</w:t>
      </w:r>
      <w:r>
        <w:rPr>
          <w:rFonts w:hint="eastAsia" w:ascii="仿宋_GB2312" w:hAnsi="仿宋_GB2312" w:eastAsia="仿宋_GB2312" w:cs="仿宋_GB2312"/>
          <w:color w:val="000000"/>
          <w:spacing w:val="-4"/>
          <w:kern w:val="2"/>
          <w:sz w:val="32"/>
          <w:szCs w:val="32"/>
          <w:lang w:val="en-US" w:eastAsia="zh-CN" w:bidi="ar-SA"/>
        </w:rPr>
        <w:t>本年度我街道共收到依申请公开4件，均予以公开。</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spacing w:val="-4"/>
          <w:sz w:val="32"/>
          <w:szCs w:val="32"/>
          <w:lang w:val="en-US" w:eastAsia="zh-CN"/>
        </w:rPr>
      </w:pPr>
      <w:r>
        <w:rPr>
          <w:rFonts w:hint="eastAsia" w:ascii="楷体" w:hAnsi="楷体" w:eastAsia="楷体" w:cs="楷体"/>
          <w:kern w:val="2"/>
          <w:sz w:val="32"/>
          <w:szCs w:val="32"/>
          <w:lang w:val="en-US" w:eastAsia="zh-CN" w:bidi="ar-SA"/>
        </w:rPr>
        <w:t>（三）政府信息管理情况。</w:t>
      </w:r>
      <w:r>
        <w:rPr>
          <w:rFonts w:hint="eastAsia" w:ascii="仿宋_GB2312" w:hAnsi="仿宋_GB2312" w:eastAsia="仿宋_GB2312" w:cs="仿宋_GB2312"/>
          <w:color w:val="000000"/>
          <w:spacing w:val="-4"/>
          <w:kern w:val="2"/>
          <w:sz w:val="32"/>
          <w:szCs w:val="32"/>
          <w:lang w:val="en-US" w:eastAsia="zh-CN" w:bidi="ar-SA"/>
        </w:rPr>
        <w:t>为强化政务公开，保障群众知情权，一年来，西坞街道办事处信息公开工作在街道信息公开工作领导小组的领导下，由党</w:t>
      </w:r>
      <w:r>
        <w:rPr>
          <w:rFonts w:hint="eastAsia" w:ascii="仿宋_GB2312" w:hAnsi="仿宋_GB2312" w:eastAsia="仿宋_GB2312" w:cs="仿宋_GB2312"/>
          <w:color w:val="000000"/>
          <w:spacing w:val="-4"/>
          <w:sz w:val="32"/>
          <w:szCs w:val="32"/>
          <w:lang w:val="en-US" w:eastAsia="zh-CN"/>
        </w:rPr>
        <w:t>政办具体负责，安排专人</w:t>
      </w:r>
      <w:r>
        <w:rPr>
          <w:rFonts w:hint="eastAsia" w:ascii="仿宋_GB2312" w:hAnsi="仿宋_GB2312" w:eastAsia="仿宋_GB2312" w:cs="仿宋_GB2312"/>
          <w:color w:val="000000"/>
          <w:spacing w:val="-4"/>
          <w:sz w:val="32"/>
          <w:szCs w:val="32"/>
        </w:rPr>
        <w:t>负责信息公开收集、整理、报送等工作，各办站</w:t>
      </w:r>
      <w:r>
        <w:rPr>
          <w:rFonts w:hint="eastAsia" w:ascii="仿宋_GB2312" w:hAnsi="仿宋_GB2312" w:eastAsia="仿宋_GB2312" w:cs="仿宋_GB2312"/>
          <w:color w:val="000000"/>
          <w:spacing w:val="-4"/>
          <w:sz w:val="32"/>
          <w:szCs w:val="32"/>
          <w:lang w:eastAsia="zh-CN"/>
        </w:rPr>
        <w:t>（</w:t>
      </w:r>
      <w:r>
        <w:rPr>
          <w:rFonts w:hint="eastAsia" w:ascii="仿宋_GB2312" w:hAnsi="仿宋_GB2312" w:eastAsia="仿宋_GB2312" w:cs="仿宋_GB2312"/>
          <w:color w:val="000000"/>
          <w:spacing w:val="-4"/>
          <w:sz w:val="32"/>
          <w:szCs w:val="32"/>
        </w:rPr>
        <w:t>所</w:t>
      </w:r>
      <w:r>
        <w:rPr>
          <w:rFonts w:hint="eastAsia" w:ascii="仿宋_GB2312" w:hAnsi="仿宋_GB2312" w:eastAsia="仿宋_GB2312" w:cs="仿宋_GB2312"/>
          <w:color w:val="000000"/>
          <w:spacing w:val="-4"/>
          <w:sz w:val="32"/>
          <w:szCs w:val="32"/>
          <w:lang w:eastAsia="zh-CN"/>
        </w:rPr>
        <w:t>）</w:t>
      </w:r>
      <w:r>
        <w:rPr>
          <w:rFonts w:hint="eastAsia" w:ascii="仿宋_GB2312" w:hAnsi="仿宋_GB2312" w:eastAsia="仿宋_GB2312" w:cs="仿宋_GB2312"/>
          <w:color w:val="000000"/>
          <w:spacing w:val="-4"/>
          <w:sz w:val="32"/>
          <w:szCs w:val="32"/>
        </w:rPr>
        <w:t>负责提供</w:t>
      </w:r>
      <w:r>
        <w:rPr>
          <w:rFonts w:hint="eastAsia" w:ascii="仿宋_GB2312" w:hAnsi="仿宋_GB2312" w:eastAsia="仿宋_GB2312" w:cs="仿宋_GB2312"/>
          <w:color w:val="000000"/>
          <w:spacing w:val="-4"/>
          <w:sz w:val="32"/>
          <w:szCs w:val="32"/>
          <w:lang w:val="en-US" w:eastAsia="zh-CN"/>
        </w:rPr>
        <w:t>具体</w:t>
      </w:r>
      <w:r>
        <w:rPr>
          <w:rFonts w:hint="eastAsia" w:ascii="仿宋_GB2312" w:hAnsi="仿宋_GB2312" w:eastAsia="仿宋_GB2312" w:cs="仿宋_GB2312"/>
          <w:color w:val="000000"/>
          <w:spacing w:val="-4"/>
          <w:sz w:val="32"/>
          <w:szCs w:val="32"/>
        </w:rPr>
        <w:t>信息资料，在全街道构建起启动有力、推进迅速、全员参与</w:t>
      </w:r>
      <w:r>
        <w:rPr>
          <w:rFonts w:hint="eastAsia" w:ascii="仿宋_GB2312" w:hAnsi="仿宋_GB2312" w:eastAsia="仿宋_GB2312" w:cs="仿宋_GB2312"/>
          <w:color w:val="000000"/>
          <w:spacing w:val="-4"/>
          <w:sz w:val="32"/>
          <w:szCs w:val="32"/>
          <w:lang w:val="en-US" w:eastAsia="zh-CN"/>
        </w:rPr>
        <w:t>的工作体系</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在信息公开过程中，有关负责人严格按照信息公开处理流程实施，</w:t>
      </w:r>
      <w:r>
        <w:rPr>
          <w:rFonts w:hint="eastAsia" w:ascii="仿宋_GB2312" w:hAnsi="仿宋_GB2312" w:eastAsia="仿宋_GB2312" w:cs="仿宋_GB2312"/>
          <w:color w:val="000000"/>
          <w:spacing w:val="-4"/>
          <w:sz w:val="32"/>
          <w:szCs w:val="32"/>
        </w:rPr>
        <w:t>对拟公开的政府信息进行科室负责人及分管领导两级保密审查，审查通过后再作后续发布</w:t>
      </w:r>
      <w:r>
        <w:rPr>
          <w:rFonts w:hint="eastAsia" w:ascii="仿宋_GB2312" w:hAnsi="仿宋_GB2312" w:eastAsia="仿宋_GB2312" w:cs="仿宋_GB2312"/>
          <w:color w:val="000000"/>
          <w:spacing w:val="-4"/>
          <w:sz w:val="32"/>
          <w:szCs w:val="32"/>
          <w:lang w:val="en-US" w:eastAsia="zh-CN"/>
        </w:rPr>
        <w:t>。对照上级要求，及时更新政府信息公开指南、政府信息公开目录和信息。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pacing w:val="-4"/>
          <w:sz w:val="32"/>
          <w:szCs w:val="32"/>
          <w:lang w:val="en-US" w:eastAsia="zh-CN"/>
        </w:rPr>
      </w:pPr>
      <w:r>
        <w:rPr>
          <w:rFonts w:hint="eastAsia" w:ascii="楷体" w:hAnsi="楷体" w:eastAsia="楷体" w:cs="楷体"/>
          <w:kern w:val="2"/>
          <w:sz w:val="32"/>
          <w:szCs w:val="32"/>
          <w:lang w:val="en-US" w:eastAsia="zh-CN" w:bidi="ar-SA"/>
        </w:rPr>
        <w:t>（四）平台建设情况。</w:t>
      </w:r>
      <w:r>
        <w:rPr>
          <w:rFonts w:hint="eastAsia" w:ascii="仿宋_GB2312" w:hAnsi="仿宋_GB2312" w:eastAsia="仿宋_GB2312" w:cs="仿宋_GB2312"/>
          <w:color w:val="000000"/>
          <w:spacing w:val="-4"/>
          <w:kern w:val="2"/>
          <w:sz w:val="32"/>
          <w:szCs w:val="32"/>
          <w:lang w:val="en-US" w:eastAsia="zh-CN"/>
        </w:rPr>
        <w:t>奉化区政府政务公开网站（http://www.fh.gov.cn/col/col1229165317/index.html?key=gkzn）是本街道信息公开的主要网络平台。此外，本街道还通过“微观西坞”信公众号平台、公开栏、报纸电视等载体及时公开最新政府信息。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kern w:val="2"/>
          <w:sz w:val="32"/>
          <w:szCs w:val="32"/>
          <w:lang w:val="en-US" w:eastAsia="zh-CN" w:bidi="ar-SA"/>
        </w:rPr>
        <w:t>（五）监督保障情况。</w:t>
      </w:r>
      <w:r>
        <w:rPr>
          <w:rFonts w:hint="eastAsia" w:ascii="仿宋_GB2312" w:hAnsi="仿宋_GB2312" w:eastAsia="仿宋_GB2312" w:cs="仿宋_GB2312"/>
          <w:sz w:val="32"/>
          <w:szCs w:val="32"/>
          <w:lang w:eastAsia="zh-CN"/>
        </w:rPr>
        <w:t>根据《中共宁波市奉化区委宁波市奉化区人民政府关于印发</w:t>
      </w:r>
      <w:r>
        <w:rPr>
          <w:rFonts w:hint="eastAsia" w:ascii="仿宋_GB2312" w:hAnsi="仿宋_GB2312" w:eastAsia="仿宋_GB2312" w:cs="仿宋_GB2312"/>
          <w:sz w:val="32"/>
          <w:szCs w:val="32"/>
          <w:lang w:val="en-US" w:eastAsia="zh-CN"/>
        </w:rPr>
        <w:t>&lt;2021年镇（街道）、区级机关目标管理考核办法&gt;的通知</w:t>
      </w:r>
      <w:r>
        <w:rPr>
          <w:rFonts w:hint="eastAsia" w:ascii="仿宋_GB2312" w:hAnsi="仿宋_GB2312" w:eastAsia="仿宋_GB2312" w:cs="仿宋_GB2312"/>
          <w:sz w:val="32"/>
          <w:szCs w:val="32"/>
          <w:lang w:eastAsia="zh-CN"/>
        </w:rPr>
        <w:t>》规定，2021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我街道目标管理考核内容中包括“政务公开”指标。同时，在网站公布监督电话和咨询电话，及时解答公众问题，回应群众关切。及时做好政务信息公开第三方监督评测反馈问题整改工作，不断提高信息公开质量和效率。加强行政权力运行制约和监督，自觉接受社会公众、人大、政协等监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r>
        <w:rPr>
          <w:rFonts w:hint="eastAsia" w:ascii="仿宋_GB2312" w:hAnsi="仿宋_GB2312" w:eastAsia="仿宋_GB2312"/>
          <w:color w:val="auto"/>
          <w:sz w:val="32"/>
          <w:szCs w:val="32"/>
          <w:lang w:val="en-US" w:eastAsia="zh-CN"/>
        </w:rPr>
        <w:t xml:space="preserve">    </w:t>
      </w:r>
      <w:r>
        <w:rPr>
          <w:rFonts w:hint="eastAsia" w:ascii="黑体" w:hAnsi="黑体" w:eastAsia="黑体" w:cs="仿宋"/>
          <w:sz w:val="32"/>
          <w:szCs w:val="32"/>
          <w:lang w:bidi="ar-SA"/>
        </w:rPr>
        <w:t>二、主动公开政府信息情况</w:t>
      </w:r>
    </w:p>
    <w:tbl>
      <w:tblPr>
        <w:tblStyle w:val="4"/>
        <w:tblW w:w="5000" w:type="pct"/>
        <w:jc w:val="center"/>
        <w:tblLayout w:type="autofit"/>
        <w:tblCellMar>
          <w:top w:w="0" w:type="dxa"/>
          <w:left w:w="0" w:type="dxa"/>
          <w:bottom w:w="0" w:type="dxa"/>
          <w:right w:w="0" w:type="dxa"/>
        </w:tblCellMar>
      </w:tblPr>
      <w:tblGrid>
        <w:gridCol w:w="5813"/>
        <w:gridCol w:w="1178"/>
        <w:gridCol w:w="353"/>
        <w:gridCol w:w="1178"/>
      </w:tblGrid>
      <w:tr>
        <w:tblPrEx>
          <w:tblCellMar>
            <w:top w:w="0" w:type="dxa"/>
            <w:left w:w="0" w:type="dxa"/>
            <w:bottom w:w="0" w:type="dxa"/>
            <w:right w:w="0" w:type="dxa"/>
          </w:tblCellMar>
        </w:tblPrEx>
        <w:trPr>
          <w:trHeight w:val="495"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151" w:type="pct"/>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imes New Roman" w:hAnsi="Times New Roman" w:eastAsia="宋体" w:cs="Times New Roman"/>
                <w:kern w:val="0"/>
                <w:sz w:val="20"/>
                <w:szCs w:val="20"/>
                <w:lang w:val="en-US" w:eastAsia="zh-CN" w:bidi="ar"/>
              </w:rPr>
              <w:t>制作数量</w:t>
            </w:r>
          </w:p>
        </w:tc>
        <w:tc>
          <w:tcPr>
            <w:tcW w:w="780"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imes New Roman" w:hAnsi="Times New Roman" w:eastAsia="宋体" w:cs="Times New Roman"/>
                <w:kern w:val="0"/>
                <w:sz w:val="20"/>
                <w:szCs w:val="20"/>
                <w:lang w:val="en-US" w:eastAsia="zh-CN" w:bidi="ar"/>
              </w:rPr>
              <w:t>公开数量</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r>
              <w:rPr>
                <w:rFonts w:hint="eastAsia" w:ascii="宋体" w:hAnsi="宋体" w:cs="宋体"/>
                <w:color w:val="000000"/>
                <w:kern w:val="0"/>
                <w:sz w:val="20"/>
                <w:szCs w:val="20"/>
                <w:lang w:val="en-US" w:eastAsia="zh-CN" w:bidi="ar"/>
              </w:rPr>
              <w:t>（请各单位注意：镇人民政府、街道办事处、区级部门均无权限制定规章，此处均填0）</w:t>
            </w:r>
          </w:p>
        </w:tc>
        <w:tc>
          <w:tcPr>
            <w:tcW w:w="1151"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780"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1"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151"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780"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2</w:t>
            </w:r>
          </w:p>
        </w:tc>
      </w:tr>
      <w:tr>
        <w:tblPrEx>
          <w:tblCellMar>
            <w:top w:w="0" w:type="dxa"/>
            <w:left w:w="0" w:type="dxa"/>
            <w:bottom w:w="0" w:type="dxa"/>
            <w:right w:w="0" w:type="dxa"/>
          </w:tblCellMar>
        </w:tblPrEx>
        <w:trPr>
          <w:trHeight w:val="48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151" w:type="pct"/>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780"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26</w:t>
            </w:r>
          </w:p>
        </w:tc>
        <w:tc>
          <w:tcPr>
            <w:tcW w:w="77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11</w:t>
            </w:r>
          </w:p>
        </w:tc>
      </w:tr>
      <w:tr>
        <w:tblPrEx>
          <w:tblCellMar>
            <w:top w:w="0" w:type="dxa"/>
            <w:left w:w="0" w:type="dxa"/>
            <w:bottom w:w="0" w:type="dxa"/>
            <w:right w:w="0" w:type="dxa"/>
          </w:tblCellMar>
        </w:tblPrEx>
        <w:trPr>
          <w:trHeight w:val="550"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18</w:t>
            </w:r>
          </w:p>
        </w:tc>
        <w:tc>
          <w:tcPr>
            <w:tcW w:w="77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6</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12</w:t>
            </w:r>
          </w:p>
        </w:tc>
      </w:tr>
      <w:tr>
        <w:tblPrEx>
          <w:tblCellMar>
            <w:top w:w="0" w:type="dxa"/>
            <w:left w:w="0" w:type="dxa"/>
            <w:bottom w:w="0" w:type="dxa"/>
            <w:right w:w="0" w:type="dxa"/>
          </w:tblCellMar>
        </w:tblPrEx>
        <w:trPr>
          <w:trHeight w:val="40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151" w:type="pct"/>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780"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77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77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1156"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1932"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1</w:t>
            </w:r>
          </w:p>
        </w:tc>
        <w:tc>
          <w:tcPr>
            <w:tcW w:w="1932" w:type="pct"/>
            <w:gridSpan w:val="2"/>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1932"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1912" w:type="pct"/>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155" w:type="pct"/>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402</w:t>
            </w:r>
          </w:p>
        </w:tc>
        <w:tc>
          <w:tcPr>
            <w:tcW w:w="1932" w:type="pct"/>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15263485</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4"/>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16"/>
        <w:gridCol w:w="1946"/>
        <w:gridCol w:w="756"/>
        <w:gridCol w:w="702"/>
        <w:gridCol w:w="702"/>
        <w:gridCol w:w="756"/>
        <w:gridCol w:w="907"/>
        <w:gridCol w:w="669"/>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3044" w:type="pct"/>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48" w:type="pct"/>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2212" w:type="pct"/>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383" w:type="pct"/>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48"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448"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536"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39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383" w:type="pct"/>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4</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1616" w:type="pct"/>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4</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8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616" w:type="pct"/>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8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sz w:val="20"/>
                <w:szCs w:val="20"/>
                <w:lang w:val="en-US"/>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4.保护第三方合法权益</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470"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145"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616" w:type="pct"/>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9"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1616" w:type="pct"/>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4</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955" w:type="pct"/>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1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448"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536"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9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c>
          <w:tcPr>
            <w:tcW w:w="38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2"/>
                <w:sz w:val="20"/>
                <w:szCs w:val="20"/>
                <w:lang w:val="en-US" w:eastAsia="zh-CN" w:bidi="ar-SA"/>
              </w:rPr>
            </w:pPr>
            <w:r>
              <w:rPr>
                <w:rFonts w:hint="eastAsia" w:ascii="宋体" w:hAnsi="宋体" w:cs="宋体"/>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65"/>
        <w:gridCol w:w="565"/>
        <w:gridCol w:w="565"/>
        <w:gridCol w:w="565"/>
        <w:gridCol w:w="623"/>
        <w:gridCol w:w="515"/>
        <w:gridCol w:w="568"/>
        <w:gridCol w:w="568"/>
        <w:gridCol w:w="568"/>
        <w:gridCol w:w="573"/>
        <w:gridCol w:w="568"/>
        <w:gridCol w:w="568"/>
        <w:gridCol w:w="568"/>
        <w:gridCol w:w="568"/>
        <w:gridCol w:w="5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94" w:type="pct"/>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3305" w:type="pct"/>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332" w:type="pct"/>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332" w:type="pct"/>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332" w:type="pct"/>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363" w:type="pct"/>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1637" w:type="pct"/>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1668" w:type="pct"/>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32" w:type="pct"/>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32" w:type="pct"/>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32" w:type="pct"/>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63" w:type="pct"/>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02"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334"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333"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335" w:type="pc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0</w:t>
            </w:r>
          </w:p>
        </w:tc>
        <w:tc>
          <w:tcPr>
            <w:tcW w:w="332"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bidi="ar"/>
              </w:rPr>
              <w:t>1</w:t>
            </w:r>
          </w:p>
        </w:tc>
        <w:tc>
          <w:tcPr>
            <w:tcW w:w="332"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bidi="ar"/>
              </w:rPr>
              <w:t>0</w:t>
            </w:r>
          </w:p>
        </w:tc>
        <w:tc>
          <w:tcPr>
            <w:tcW w:w="332"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bidi="ar"/>
              </w:rPr>
              <w:t>0</w:t>
            </w:r>
          </w:p>
        </w:tc>
        <w:tc>
          <w:tcPr>
            <w:tcW w:w="36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bidi="ar"/>
              </w:rPr>
              <w:t>1</w:t>
            </w:r>
          </w:p>
        </w:tc>
        <w:tc>
          <w:tcPr>
            <w:tcW w:w="302"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p>
        </w:tc>
        <w:tc>
          <w:tcPr>
            <w:tcW w:w="334"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0</w:t>
            </w:r>
          </w:p>
        </w:tc>
        <w:tc>
          <w:tcPr>
            <w:tcW w:w="333" w:type="pc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p>
        </w:tc>
        <w:tc>
          <w:tcPr>
            <w:tcW w:w="335" w:type="pct"/>
            <w:tcBorders>
              <w:top w:val="nil"/>
              <w:left w:val="nil"/>
              <w:bottom w:val="single" w:color="auto" w:sz="8" w:space="0"/>
              <w:right w:val="single" w:color="auto" w:sz="8" w:space="0"/>
            </w:tcBorders>
            <w:noWrap w:val="0"/>
            <w:tcMar>
              <w:left w:w="108" w:type="dxa"/>
              <w:right w:w="108" w:type="dxa"/>
            </w:tcMar>
            <w:vAlign w:val="center"/>
          </w:tcPr>
          <w:p>
            <w:pPr>
              <w:jc w:val="both"/>
              <w:rPr>
                <w:rFonts w:hint="eastAsia" w:ascii="宋体" w:eastAsia="宋体"/>
                <w:sz w:val="24"/>
                <w:szCs w:val="24"/>
                <w:lang w:val="en-US" w:eastAsia="zh-CN"/>
              </w:rPr>
            </w:pPr>
            <w:r>
              <w:rPr>
                <w:rFonts w:hint="eastAsia" w:ascii="宋体" w:hAnsi="宋体" w:cs="宋体"/>
                <w:color w:val="000000"/>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存在的主要问题及改进情况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4" w:firstLineChars="200"/>
        <w:textAlignment w:val="auto"/>
        <w:rPr>
          <w:rFonts w:hint="eastAsia" w:ascii="仿宋_GB2312" w:hAnsi="仿宋_GB2312" w:eastAsia="仿宋_GB2312" w:cs="仿宋_GB2312"/>
          <w:color w:val="000000"/>
          <w:spacing w:val="-4"/>
          <w:kern w:val="2"/>
          <w:sz w:val="32"/>
          <w:szCs w:val="32"/>
          <w:lang w:val="en-US" w:eastAsia="zh-CN"/>
        </w:rPr>
      </w:pPr>
      <w:r>
        <w:rPr>
          <w:rFonts w:hint="eastAsia" w:ascii="仿宋_GB2312" w:hAnsi="仿宋_GB2312" w:eastAsia="仿宋_GB2312" w:cs="仿宋_GB2312"/>
          <w:color w:val="000000"/>
          <w:spacing w:val="-4"/>
          <w:kern w:val="2"/>
          <w:sz w:val="32"/>
          <w:szCs w:val="32"/>
          <w:lang w:val="en-US" w:eastAsia="zh-CN"/>
        </w:rPr>
        <w:t>2021年，西坞街道政府信息公开工作取得了一定的进步，但是仍存在着一些问题，一是政府信息公开的时效性有待增强。对把政府信息公开作为一项日常性工作的意识还不够强，未按照“随生成随公开”原则进行公开。二是对信息公开查阅点宣传力度不够。部分村社宣传还不够深入，部分群众不知道有信息公开查阅点，或者不清楚信息公开查阅点的职能和作用。三是政府信息公开的实用性有待提高。我街道虽然信息公开的数量较多，但涉及公众切身利益，需要公众广泛知晓的民生领域、重点领域的信息公开仍存在不足，公开内容单一化、表面化，多数集中在工作进展和动态信息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4" w:firstLineChars="200"/>
        <w:textAlignment w:val="auto"/>
        <w:rPr>
          <w:rFonts w:hint="eastAsia" w:ascii="仿宋_GB2312" w:hAnsi="仿宋_GB2312" w:eastAsia="仿宋_GB2312" w:cs="仿宋_GB2312"/>
          <w:color w:val="000000"/>
          <w:spacing w:val="-4"/>
          <w:kern w:val="2"/>
          <w:sz w:val="32"/>
          <w:szCs w:val="32"/>
          <w:lang w:val="en-US" w:eastAsia="zh-CN"/>
        </w:rPr>
      </w:pPr>
      <w:r>
        <w:rPr>
          <w:rFonts w:hint="eastAsia" w:ascii="仿宋_GB2312" w:hAnsi="仿宋_GB2312" w:eastAsia="仿宋_GB2312" w:cs="仿宋_GB2312"/>
          <w:color w:val="000000"/>
          <w:spacing w:val="-4"/>
          <w:kern w:val="2"/>
          <w:sz w:val="32"/>
          <w:szCs w:val="32"/>
          <w:lang w:val="en-US" w:eastAsia="zh-CN"/>
        </w:rPr>
        <w:t>2022年，我街道在将继续加强政府信息公开工作，着重抓好以下几个方面工作：一是进一步提升政府信息公开的时效性和规范化水平，把政府信息公开作为一项日常性重点工作来抓，努力做到政府信息“随生成随公开”。二是进一步加强对政府信息公开工作的宣传力度，让群众熟悉获取政府信息的多种正规渠道，了解信息公开查阅点的职能和作用。三是进一步提高政府信息公开的实用性，增加公开民生领域和人民群众关心的重点领域的政府信息，确保政府信息公开工作真正体现便民、务实、高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本年度我街道依据《政府信息公开信息处理费管理办法》，未收取过任何信息处理费。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53E565"/>
    <w:multiLevelType w:val="singleLevel"/>
    <w:tmpl w:val="CC53E56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YzNhNTIxZWVjY2YxYjZkYmVhZjcxNjM2YTI3YTYifQ=="/>
  </w:docVars>
  <w:rsids>
    <w:rsidRoot w:val="69143F31"/>
    <w:rsid w:val="101E53F4"/>
    <w:rsid w:val="19DA5464"/>
    <w:rsid w:val="20BA3511"/>
    <w:rsid w:val="233E336E"/>
    <w:rsid w:val="2B5634F3"/>
    <w:rsid w:val="40D83EF0"/>
    <w:rsid w:val="434F312A"/>
    <w:rsid w:val="5A8C1D0F"/>
    <w:rsid w:val="69143F31"/>
    <w:rsid w:val="6D761FE4"/>
    <w:rsid w:val="6E220FEE"/>
    <w:rsid w:val="7B4B541B"/>
    <w:rsid w:val="7C4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2021-11-29T06:47:00Z</dcterms:created>
  <dc:creator>admin</dc:creator>
  <cp:lastModifiedBy>mashimaro</cp:lastModifiedBy>
  <dcterms:modified xsi:type="dcterms:W3CDTF">2024-04-02T07:38:01Z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B731E36A40AA404088CEEDC9610E42AB_13</vt:lpwstr>
  </property>
</Properties>
</file>