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2022年4月27日全区生态环境保护工作会议上胡永光书记的讲话指示和《宁波市生态环境损害赔偿制度改革实施方案》（甬党办〔2018〕162号）（以下简称《改革实施方案》）文件精神，现就进一步做好我区生态环境损害赔偿制度改革工作，特制订本实施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一是持续改善生态环境质量。把督察反馈意见的整改落实转化为环境质量持续改善的实际成效,不断增强人民群众的获得感。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二是推动区域高质量发展。进一步打开绿水青山向金山银山转化的通道，充分发挥环保倒逼机制，促进供给侧结构性改革，推进经济转型升级，走出一条具有奉化特色的绿色发展、高质量发展之路。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三是建立健全长效治理机制。巩固深化督察成果，结合生态文明体制改革，把行之有效的整改措施和工作机制，上升为制度规范，加快构建起系统完整的环境保护和生态文明建设制度体系。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52AA8"/>
    <w:rsid w:val="04A05AC1"/>
    <w:rsid w:val="0756651E"/>
    <w:rsid w:val="08F26AB2"/>
    <w:rsid w:val="0AEE5693"/>
    <w:rsid w:val="0EE52AA8"/>
    <w:rsid w:val="144E0451"/>
    <w:rsid w:val="2E8E4AED"/>
    <w:rsid w:val="307C61A8"/>
    <w:rsid w:val="36CE7EE7"/>
    <w:rsid w:val="3DBE10EF"/>
    <w:rsid w:val="51CD6FFA"/>
    <w:rsid w:val="7AC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2022-05-17T07:12:00Z</dcterms:created>
  <dc:creator>Administrator</dc:creator>
  <cp:lastModifiedBy>Combustion Moris</cp:lastModifiedBy>
  <cp:lastPrinted>2022-05-17T08:17:00Z</cp:lastPrinted>
  <dcterms:modified xsi:type="dcterms:W3CDTF">2022-05-24T13:41:16Z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