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起草说明</w:t>
      </w:r>
    </w:p>
    <w:p>
      <w:pPr>
        <w:pStyle w:val="13"/>
        <w:spacing w:after="0" w:line="560" w:lineRule="exact"/>
        <w:ind w:left="0" w:leftChars="0" w:firstLine="0" w:firstLineChars="0"/>
        <w:jc w:val="both"/>
        <w:rPr>
          <w:rFonts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40"/>
          <w:highlight w:val="none"/>
          <w:lang w:eastAsia="zh-CN"/>
        </w:rPr>
        <w:t>一、文件制定背景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依据《中华人民共和国基本医疗卫生与健康促进法》《中华人民共和国传染病防治法》《中华人民共和国突发事件应对法》《突发公共卫生事件应急条例》《国家突发公共事件总体应急预案》《国家突发公共卫生事件应急预案》《突发公共卫生事件与传染病疫情监测信息报告管理办法》《浙江省突发公共卫生事件应急办法》《浙江省突发公共卫生事件应急预案》《宁波市突发公共卫生事件应急预案》《宁波市奉化区突发事件总体应急预案》，</w:t>
      </w:r>
      <w:r>
        <w:rPr>
          <w:rFonts w:hint="eastAsia" w:ascii="仿宋_GB2312" w:hAnsi="仿宋_GB2312" w:eastAsia="仿宋_GB2312" w:cs="仿宋_GB2312"/>
          <w:color w:val="auto"/>
          <w:sz w:val="32"/>
          <w:szCs w:val="32"/>
          <w:lang w:val="en-US" w:eastAsia="zh-CN"/>
        </w:rPr>
        <w:t>结合我区实际，经征求各区直部门意见，并由相关专家审定，我局拟定了《宁波市奉化区突发公共卫生事件应急预案（征求意见稿）》和《宁波市奉化区突发急性呼吸道传染病事件应急预案（征求意见稿）》。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现就相关情况说明如下：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40"/>
          <w:highlight w:val="none"/>
          <w:lang w:eastAsia="zh-CN"/>
        </w:rPr>
      </w:pPr>
      <w:r>
        <w:rPr>
          <w:rFonts w:hint="eastAsia" w:ascii="黑体" w:hAnsi="黑体" w:eastAsia="黑体" w:cs="黑体"/>
          <w:sz w:val="32"/>
          <w:szCs w:val="40"/>
          <w:highlight w:val="none"/>
          <w:lang w:eastAsia="zh-CN"/>
        </w:rPr>
        <w:t>二、文件起草过程说明</w:t>
      </w:r>
    </w:p>
    <w:p>
      <w:pPr>
        <w:ind w:firstLine="640" w:firstLineChars="200"/>
        <w:jc w:val="left"/>
        <w:rPr>
          <w:rFonts w:hint="eastAsia" w:ascii="宋体" w:hAnsi="宋体" w:eastAsia="宋体" w:cs="宋体"/>
          <w:sz w:val="32"/>
          <w:szCs w:val="32"/>
        </w:rPr>
      </w:pPr>
      <w:r>
        <w:rPr>
          <w:rFonts w:hint="eastAsia" w:ascii="仿宋_GB2312" w:hAnsi="仿宋_GB2312" w:eastAsia="仿宋_GB2312" w:cs="仿宋_GB2312"/>
          <w:color w:val="auto"/>
          <w:sz w:val="32"/>
          <w:szCs w:val="32"/>
          <w:lang w:val="en-US" w:eastAsia="zh-CN"/>
        </w:rPr>
        <w:t>为指导和规范我区各类突发公共卫生事件的应急准备和应急处置工作，有效预防、及时控制事件并消除危害，</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color w:val="auto"/>
          <w:kern w:val="2"/>
          <w:sz w:val="32"/>
          <w:szCs w:val="32"/>
          <w:lang w:val="en-US" w:eastAsia="zh-CN"/>
        </w:rPr>
        <w:t>《奉化市突发公共卫生事件应急预案》（奉政办发</w:t>
      </w:r>
      <w:r>
        <w:rPr>
          <w:rFonts w:hint="eastAsia" w:ascii="仿宋_GB2312" w:hAnsi="宋体" w:eastAsia="仿宋_GB2312"/>
          <w:sz w:val="32"/>
          <w:szCs w:val="32"/>
        </w:rPr>
        <w:t>〔</w:t>
      </w:r>
      <w:r>
        <w:rPr>
          <w:rFonts w:hint="eastAsia" w:ascii="仿宋_GB2312" w:hAnsi="宋体" w:eastAsia="仿宋_GB2312"/>
          <w:sz w:val="32"/>
          <w:szCs w:val="32"/>
          <w:lang w:val="en-US" w:eastAsia="zh-CN"/>
        </w:rPr>
        <w:t>2012</w:t>
      </w:r>
      <w:r>
        <w:rPr>
          <w:rFonts w:hint="eastAsia" w:ascii="仿宋_GB2312" w:hAnsi="宋体" w:eastAsia="仿宋_GB2312"/>
          <w:sz w:val="32"/>
          <w:szCs w:val="32"/>
        </w:rPr>
        <w:t>〕</w:t>
      </w:r>
      <w:r>
        <w:rPr>
          <w:rFonts w:hint="eastAsia" w:ascii="仿宋_GB2312" w:hAnsi="仿宋_GB2312" w:eastAsia="仿宋_GB2312" w:cs="仿宋_GB2312"/>
          <w:color w:val="auto"/>
          <w:kern w:val="2"/>
          <w:sz w:val="32"/>
          <w:szCs w:val="32"/>
          <w:lang w:val="en-US" w:eastAsia="zh-CN"/>
        </w:rPr>
        <w:t>139号)进行了修订，</w:t>
      </w:r>
      <w:r>
        <w:rPr>
          <w:rFonts w:hint="eastAsia" w:ascii="仿宋_GB2312" w:hAnsi="仿宋_GB2312" w:eastAsia="仿宋_GB2312" w:cs="仿宋_GB2312"/>
          <w:sz w:val="32"/>
          <w:szCs w:val="32"/>
        </w:rPr>
        <w:t>形成《征求意见稿》。</w:t>
      </w:r>
    </w:p>
    <w:p>
      <w:pPr>
        <w:pStyle w:val="15"/>
        <w:numPr>
          <w:ilvl w:val="0"/>
          <w:numId w:val="1"/>
        </w:numPr>
        <w:spacing w:before="0" w:beforeAutospacing="0" w:after="0" w:afterAutospacing="0" w:line="560" w:lineRule="exact"/>
        <w:ind w:firstLine="640" w:firstLineChars="200"/>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文件主要内容</w:t>
      </w:r>
    </w:p>
    <w:p>
      <w:pPr>
        <w:pStyle w:val="15"/>
        <w:numPr>
          <w:numId w:val="0"/>
        </w:numPr>
        <w:spacing w:before="0" w:beforeAutospacing="0" w:after="0" w:afterAutospacing="0" w:line="560" w:lineRule="exact"/>
        <w:ind w:firstLine="640" w:firstLineChars="200"/>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color w:val="auto"/>
          <w:sz w:val="32"/>
          <w:szCs w:val="32"/>
          <w:lang w:val="en-US" w:eastAsia="zh-CN"/>
        </w:rPr>
        <w:t>（一）</w:t>
      </w:r>
      <w:bookmarkStart w:id="0" w:name="_Toc75116659"/>
      <w:bookmarkStart w:id="1" w:name="_Toc74865323"/>
      <w:r>
        <w:rPr>
          <w:rFonts w:hint="eastAsia" w:ascii="楷体_GB2312" w:hAnsi="楷体_GB2312" w:eastAsia="楷体_GB2312" w:cs="楷体_GB2312"/>
          <w:b w:val="0"/>
          <w:bCs/>
          <w:sz w:val="32"/>
          <w:szCs w:val="32"/>
          <w:lang w:eastAsia="zh-CN"/>
        </w:rPr>
        <w:t>工作</w:t>
      </w:r>
      <w:r>
        <w:rPr>
          <w:rFonts w:hint="eastAsia" w:ascii="楷体_GB2312" w:hAnsi="楷体_GB2312" w:eastAsia="楷体_GB2312" w:cs="楷体_GB2312"/>
          <w:b w:val="0"/>
          <w:bCs/>
          <w:sz w:val="32"/>
          <w:szCs w:val="32"/>
        </w:rPr>
        <w:t>原则</w:t>
      </w:r>
      <w:bookmarkEnd w:id="0"/>
      <w:bookmarkEnd w:id="1"/>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《宁波市奉化区突发公共卫生事件应急预案（征求意见稿）》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人民至上，预防为主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统一领导，分级负责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平战结合，常备不懈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依法管理，科学防治。</w:t>
      </w:r>
    </w:p>
    <w:p>
      <w:pPr>
        <w:adjustRightInd w:val="0"/>
        <w:snapToGrid w:val="0"/>
        <w:spacing w:line="560" w:lineRule="exact"/>
        <w:ind w:firstLine="640" w:firstLineChars="200"/>
        <w:rPr>
          <w:rFonts w:hint="eastAsia" w:ascii="仿宋" w:hAnsi="仿宋" w:eastAsia="仿宋_GB2312"/>
          <w:sz w:val="32"/>
          <w:szCs w:val="32"/>
          <w:lang w:eastAsia="zh-CN"/>
        </w:rPr>
      </w:pPr>
      <w:r>
        <w:rPr>
          <w:rFonts w:hint="eastAsia" w:ascii="仿宋_GB2312" w:hAnsi="仿宋_GB2312" w:eastAsia="仿宋_GB2312" w:cs="仿宋_GB2312"/>
          <w:color w:val="auto"/>
          <w:sz w:val="32"/>
          <w:szCs w:val="32"/>
          <w:lang w:val="en-US" w:eastAsia="zh-CN"/>
        </w:rPr>
        <w:t>《宁波市奉化区突发急性呼吸道传染病事件应急预案（征求意见稿）》</w:t>
      </w:r>
      <w:r>
        <w:rPr>
          <w:rFonts w:hint="eastAsia" w:ascii="仿宋" w:hAnsi="仿宋" w:eastAsia="仿宋"/>
          <w:sz w:val="32"/>
          <w:szCs w:val="32"/>
          <w:lang w:eastAsia="zh-CN"/>
        </w:rPr>
        <w:t>：</w:t>
      </w:r>
      <w:r>
        <w:rPr>
          <w:rFonts w:hint="eastAsia" w:ascii="仿宋_GB2312" w:hAnsi="仿宋_GB2312" w:eastAsia="仿宋_GB2312" w:cs="仿宋_GB2312"/>
          <w:sz w:val="32"/>
          <w:szCs w:val="32"/>
        </w:rPr>
        <w:t>预防为主，立足</w:t>
      </w:r>
      <w:r>
        <w:rPr>
          <w:rFonts w:hint="eastAsia" w:ascii="仿宋_GB2312" w:hAnsi="仿宋_GB2312" w:eastAsia="仿宋_GB2312" w:cs="仿宋_GB2312"/>
          <w:sz w:val="32"/>
          <w:szCs w:val="32"/>
          <w:lang w:val="zh-CN" w:eastAsia="zh-CN" w:bidi="zh-CN"/>
        </w:rPr>
        <w:t>“四早”；</w:t>
      </w:r>
      <w:r>
        <w:rPr>
          <w:rFonts w:hint="eastAsia" w:ascii="仿宋_GB2312" w:hAnsi="仿宋_GB2312" w:eastAsia="仿宋_GB2312" w:cs="仿宋_GB2312"/>
          <w:sz w:val="32"/>
          <w:szCs w:val="32"/>
        </w:rPr>
        <w:t>统一领导，完善机制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平战结合，强化准备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平战结合，强化准备</w:t>
      </w:r>
      <w:r>
        <w:rPr>
          <w:rFonts w:hint="eastAsia" w:ascii="仿宋_GB2312" w:hAnsi="仿宋_GB2312" w:eastAsia="仿宋_GB2312" w:cs="仿宋_GB2312"/>
          <w:sz w:val="32"/>
          <w:szCs w:val="32"/>
          <w:lang w:eastAsia="zh-CN"/>
        </w:rPr>
        <w:t>。</w:t>
      </w:r>
    </w:p>
    <w:p>
      <w:pPr>
        <w:numPr>
          <w:numId w:val="0"/>
        </w:numPr>
        <w:adjustRightInd w:val="0"/>
        <w:snapToGrid w:val="0"/>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（二）主要内容</w:t>
      </w:r>
    </w:p>
    <w:p>
      <w:pPr>
        <w:numPr>
          <w:numId w:val="0"/>
        </w:num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 w:hAnsi="仿宋" w:eastAsia="仿宋"/>
          <w:kern w:val="0"/>
          <w:sz w:val="32"/>
          <w:szCs w:val="32"/>
        </w:rPr>
        <w:t>第一部分</w:t>
      </w:r>
      <w:r>
        <w:rPr>
          <w:rFonts w:hint="eastAsia" w:ascii="仿宋" w:hAnsi="仿宋" w:eastAsia="仿宋"/>
          <w:kern w:val="0"/>
          <w:sz w:val="32"/>
          <w:szCs w:val="32"/>
          <w:lang w:eastAsia="zh-CN"/>
        </w:rPr>
        <w:t>为事件分级。第二部分为应急组织体系与机制。第三部分为</w:t>
      </w:r>
      <w:r>
        <w:rPr>
          <w:rFonts w:hint="eastAsia" w:ascii="仿宋_GB2312" w:hAnsi="仿宋_GB2312" w:eastAsia="仿宋_GB2312" w:cs="仿宋_GB2312"/>
          <w:sz w:val="32"/>
          <w:szCs w:val="32"/>
        </w:rPr>
        <w:t>监测、报告、评估与预警</w:t>
      </w:r>
      <w:r>
        <w:rPr>
          <w:rFonts w:hint="eastAsia" w:ascii="仿宋_GB2312" w:hAnsi="仿宋_GB2312" w:eastAsia="仿宋_GB2312" w:cs="仿宋_GB2312"/>
          <w:sz w:val="32"/>
          <w:szCs w:val="32"/>
          <w:lang w:eastAsia="zh-CN"/>
        </w:rPr>
        <w:t>。第四部分为</w:t>
      </w:r>
      <w:r>
        <w:rPr>
          <w:rFonts w:hint="eastAsia" w:ascii="仿宋_GB2312" w:hAnsi="仿宋_GB2312" w:eastAsia="仿宋_GB2312" w:cs="仿宋_GB2312"/>
          <w:sz w:val="32"/>
          <w:szCs w:val="32"/>
        </w:rPr>
        <w:t>应急响应</w:t>
      </w:r>
      <w:r>
        <w:rPr>
          <w:rFonts w:hint="eastAsia" w:ascii="仿宋_GB2312" w:hAnsi="仿宋_GB2312" w:eastAsia="仿宋_GB2312" w:cs="仿宋_GB2312"/>
          <w:sz w:val="32"/>
          <w:szCs w:val="32"/>
          <w:lang w:eastAsia="zh-CN"/>
        </w:rPr>
        <w:t>。第五部分为</w:t>
      </w:r>
      <w:r>
        <w:rPr>
          <w:rFonts w:hint="eastAsia" w:ascii="仿宋_GB2312" w:hAnsi="仿宋_GB2312" w:eastAsia="仿宋_GB2312" w:cs="仿宋_GB2312"/>
          <w:sz w:val="32"/>
          <w:szCs w:val="32"/>
        </w:rPr>
        <w:t>善后处理</w:t>
      </w:r>
      <w:r>
        <w:rPr>
          <w:rFonts w:hint="eastAsia" w:ascii="仿宋_GB2312" w:hAnsi="仿宋_GB2312" w:eastAsia="仿宋_GB2312" w:cs="仿宋_GB2312"/>
          <w:sz w:val="32"/>
          <w:szCs w:val="32"/>
          <w:lang w:eastAsia="zh-CN"/>
        </w:rPr>
        <w:t>。</w:t>
      </w:r>
      <w:bookmarkStart w:id="2" w:name="_Toc75116662"/>
      <w:bookmarkStart w:id="3" w:name="_Toc74865326"/>
    </w:p>
    <w:p>
      <w:pPr>
        <w:numPr>
          <w:numId w:val="0"/>
        </w:numPr>
        <w:adjustRightInd w:val="0"/>
        <w:snapToGrid w:val="0"/>
        <w:spacing w:line="560" w:lineRule="exact"/>
        <w:ind w:firstLine="640" w:firstLineChars="200"/>
        <w:rPr>
          <w:rFonts w:hint="eastAsia" w:ascii="楷体_GB2312" w:hAnsi="楷体_GB2312" w:eastAsia="楷体_GB2312" w:cs="楷体_GB2312"/>
          <w:b w:val="0"/>
          <w:bCs/>
          <w:sz w:val="32"/>
          <w:szCs w:val="32"/>
        </w:rPr>
      </w:pPr>
      <w:bookmarkStart w:id="4" w:name="_GoBack"/>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b w:val="0"/>
          <w:bCs/>
          <w:sz w:val="32"/>
          <w:szCs w:val="32"/>
        </w:rPr>
        <w:t>保障措施</w:t>
      </w:r>
      <w:bookmarkEnd w:id="2"/>
      <w:bookmarkEnd w:id="3"/>
    </w:p>
    <w:bookmarkEnd w:id="4"/>
    <w:p>
      <w:pPr>
        <w:numPr>
          <w:ilvl w:val="0"/>
          <w:numId w:val="0"/>
        </w:numPr>
        <w:pBdr>
          <w:bottom w:val="single" w:color="FFFFFF" w:sz="4" w:space="30"/>
        </w:pBdr>
        <w:tabs>
          <w:tab w:val="left" w:pos="1440"/>
        </w:tabs>
        <w:adjustRightInd w:val="0"/>
        <w:snapToGrid w:val="0"/>
        <w:spacing w:line="560" w:lineRule="exact"/>
        <w:ind w:firstLine="640" w:firstLineChars="200"/>
        <w:jc w:val="left"/>
        <w:rPr>
          <w:rFonts w:ascii="仿宋" w:hAnsi="仿宋" w:eastAsia="仿宋"/>
          <w:b/>
          <w:bCs/>
          <w:sz w:val="32"/>
          <w:szCs w:val="32"/>
        </w:rPr>
      </w:pPr>
      <w:r>
        <w:rPr>
          <w:rFonts w:hint="eastAsia" w:ascii="仿宋" w:hAnsi="仿宋" w:eastAsia="仿宋"/>
          <w:kern w:val="0"/>
          <w:sz w:val="32"/>
          <w:szCs w:val="32"/>
        </w:rPr>
        <w:t>主要</w:t>
      </w:r>
      <w:r>
        <w:rPr>
          <w:rFonts w:hint="eastAsia" w:ascii="仿宋" w:hAnsi="仿宋" w:eastAsia="仿宋"/>
          <w:kern w:val="0"/>
          <w:sz w:val="32"/>
          <w:szCs w:val="32"/>
          <w:lang w:eastAsia="zh-CN"/>
        </w:rPr>
        <w:t>有组织保障、技术保障、经费和物资保障、通信和交通保障、法律保障及督导考核等</w:t>
      </w:r>
      <w:r>
        <w:rPr>
          <w:rFonts w:hint="eastAsia" w:ascii="仿宋" w:hAnsi="仿宋" w:eastAsia="仿宋"/>
          <w:kern w:val="0"/>
          <w:sz w:val="32"/>
          <w:szCs w:val="32"/>
        </w:rPr>
        <w:t>方面内容。</w:t>
      </w:r>
    </w:p>
    <w:p>
      <w:pPr>
        <w:pBdr>
          <w:bottom w:val="single" w:color="FFFFFF" w:sz="4" w:space="30"/>
        </w:pBdr>
        <w:tabs>
          <w:tab w:val="left" w:pos="1440"/>
        </w:tabs>
        <w:adjustRightInd w:val="0"/>
        <w:snapToGrid w:val="0"/>
        <w:spacing w:line="560" w:lineRule="exact"/>
        <w:ind w:firstLine="640" w:firstLineChars="200"/>
        <w:rPr>
          <w:rFonts w:hint="eastAsia" w:ascii="仿宋_GB2312" w:hAnsi="仿宋_GB2312" w:eastAsia="仿宋_GB2312" w:cs="仿宋_GB2312"/>
          <w:sz w:val="32"/>
          <w:szCs w:val="32"/>
          <w:lang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rStyle w:val="12"/>
        <w:rFonts w:hint="eastAsia"/>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5</w:t>
    </w:r>
    <w:r>
      <w:rPr>
        <w:sz w:val="28"/>
        <w:szCs w:val="28"/>
      </w:rPr>
      <w:fldChar w:fldCharType="end"/>
    </w:r>
    <w:r>
      <w:rPr>
        <w:rStyle w:val="12"/>
        <w:rFonts w:hint="eastAsia"/>
        <w:sz w:val="28"/>
        <w:szCs w:val="28"/>
      </w:rPr>
      <w:t xml:space="preserve"> —</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D95F89"/>
    <w:multiLevelType w:val="singleLevel"/>
    <w:tmpl w:val="DBD95F8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DA"/>
    <w:rsid w:val="00252A38"/>
    <w:rsid w:val="002C4ED2"/>
    <w:rsid w:val="002D3C36"/>
    <w:rsid w:val="00605648"/>
    <w:rsid w:val="00951072"/>
    <w:rsid w:val="009F2DA4"/>
    <w:rsid w:val="00C90282"/>
    <w:rsid w:val="00D32EA7"/>
    <w:rsid w:val="00F4744F"/>
    <w:rsid w:val="00FB0CDA"/>
    <w:rsid w:val="034415E9"/>
    <w:rsid w:val="0496616A"/>
    <w:rsid w:val="061D701F"/>
    <w:rsid w:val="0630351A"/>
    <w:rsid w:val="06674AD3"/>
    <w:rsid w:val="06B95BCC"/>
    <w:rsid w:val="06DD2A00"/>
    <w:rsid w:val="084155F6"/>
    <w:rsid w:val="09490DEE"/>
    <w:rsid w:val="0A7B3513"/>
    <w:rsid w:val="0AC70876"/>
    <w:rsid w:val="0ADC4B82"/>
    <w:rsid w:val="0BD5546C"/>
    <w:rsid w:val="0C2E7937"/>
    <w:rsid w:val="0D9D067E"/>
    <w:rsid w:val="0EB31384"/>
    <w:rsid w:val="0FFF37C2"/>
    <w:rsid w:val="10016505"/>
    <w:rsid w:val="107E5297"/>
    <w:rsid w:val="108C4619"/>
    <w:rsid w:val="115701B0"/>
    <w:rsid w:val="115D5811"/>
    <w:rsid w:val="129D49AD"/>
    <w:rsid w:val="14114110"/>
    <w:rsid w:val="14D84DB9"/>
    <w:rsid w:val="15F233C6"/>
    <w:rsid w:val="166772E0"/>
    <w:rsid w:val="167B79AE"/>
    <w:rsid w:val="17BE364C"/>
    <w:rsid w:val="18A54CBB"/>
    <w:rsid w:val="1C3E7D2F"/>
    <w:rsid w:val="1CB54754"/>
    <w:rsid w:val="1D1D2CB8"/>
    <w:rsid w:val="1F1B1D5D"/>
    <w:rsid w:val="1FB667BF"/>
    <w:rsid w:val="1FC6577B"/>
    <w:rsid w:val="21C96C9D"/>
    <w:rsid w:val="22900D3B"/>
    <w:rsid w:val="22EF7A6A"/>
    <w:rsid w:val="23D76EEC"/>
    <w:rsid w:val="243129C4"/>
    <w:rsid w:val="25256B4A"/>
    <w:rsid w:val="256C3ACE"/>
    <w:rsid w:val="273A32A3"/>
    <w:rsid w:val="275763C2"/>
    <w:rsid w:val="28B74084"/>
    <w:rsid w:val="29D2042E"/>
    <w:rsid w:val="2D213276"/>
    <w:rsid w:val="2D560CFF"/>
    <w:rsid w:val="2EDD5D0E"/>
    <w:rsid w:val="2FCE7AF6"/>
    <w:rsid w:val="2FD912A6"/>
    <w:rsid w:val="30A01319"/>
    <w:rsid w:val="30B95E7C"/>
    <w:rsid w:val="310C3FBA"/>
    <w:rsid w:val="317B29A4"/>
    <w:rsid w:val="32056A82"/>
    <w:rsid w:val="32F878D8"/>
    <w:rsid w:val="348D25C6"/>
    <w:rsid w:val="366F6899"/>
    <w:rsid w:val="375839E0"/>
    <w:rsid w:val="37592DF4"/>
    <w:rsid w:val="37B55119"/>
    <w:rsid w:val="37DD632B"/>
    <w:rsid w:val="38345975"/>
    <w:rsid w:val="385C73D2"/>
    <w:rsid w:val="38BB7646"/>
    <w:rsid w:val="38D15A62"/>
    <w:rsid w:val="3C6E7E64"/>
    <w:rsid w:val="3D9443D9"/>
    <w:rsid w:val="3F83310F"/>
    <w:rsid w:val="4161774C"/>
    <w:rsid w:val="42CA2314"/>
    <w:rsid w:val="43530B07"/>
    <w:rsid w:val="44A26FD6"/>
    <w:rsid w:val="454653CC"/>
    <w:rsid w:val="464D332D"/>
    <w:rsid w:val="48B66679"/>
    <w:rsid w:val="4AAE54F3"/>
    <w:rsid w:val="4C8807B2"/>
    <w:rsid w:val="4CA42622"/>
    <w:rsid w:val="4CB50A1D"/>
    <w:rsid w:val="4FE2486B"/>
    <w:rsid w:val="53133A4E"/>
    <w:rsid w:val="551B480D"/>
    <w:rsid w:val="56364316"/>
    <w:rsid w:val="57347545"/>
    <w:rsid w:val="574639DC"/>
    <w:rsid w:val="574A3537"/>
    <w:rsid w:val="5799755B"/>
    <w:rsid w:val="57B9662B"/>
    <w:rsid w:val="58026AC8"/>
    <w:rsid w:val="59197947"/>
    <w:rsid w:val="5943726F"/>
    <w:rsid w:val="59765E0A"/>
    <w:rsid w:val="5B3876D3"/>
    <w:rsid w:val="5BB9033A"/>
    <w:rsid w:val="5C3714BE"/>
    <w:rsid w:val="5DDE5757"/>
    <w:rsid w:val="5E097F2F"/>
    <w:rsid w:val="5F5038E7"/>
    <w:rsid w:val="5FE94D11"/>
    <w:rsid w:val="601423FD"/>
    <w:rsid w:val="63137CB1"/>
    <w:rsid w:val="63CA7B32"/>
    <w:rsid w:val="656A69A5"/>
    <w:rsid w:val="67D318E5"/>
    <w:rsid w:val="67F10D54"/>
    <w:rsid w:val="680E7EE9"/>
    <w:rsid w:val="695175C6"/>
    <w:rsid w:val="69C745D6"/>
    <w:rsid w:val="69DB17E9"/>
    <w:rsid w:val="6D033538"/>
    <w:rsid w:val="6D2479EF"/>
    <w:rsid w:val="6D616F1C"/>
    <w:rsid w:val="6D7F2631"/>
    <w:rsid w:val="6E7C5698"/>
    <w:rsid w:val="70C2770B"/>
    <w:rsid w:val="718B26F0"/>
    <w:rsid w:val="742F0225"/>
    <w:rsid w:val="755A7E7C"/>
    <w:rsid w:val="759B6BB2"/>
    <w:rsid w:val="76D72673"/>
    <w:rsid w:val="77D71699"/>
    <w:rsid w:val="781459BA"/>
    <w:rsid w:val="7D454B92"/>
    <w:rsid w:val="7D817D37"/>
    <w:rsid w:val="7E83376D"/>
    <w:rsid w:val="7E8853FB"/>
    <w:rsid w:val="7F456C4C"/>
    <w:rsid w:val="7F48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2"/>
    <w:basedOn w:val="1"/>
    <w:next w:val="1"/>
    <w:qFormat/>
    <w:uiPriority w:val="0"/>
    <w:pPr>
      <w:keepNext/>
      <w:adjustRightInd w:val="0"/>
      <w:snapToGrid w:val="0"/>
      <w:spacing w:beforeLines="50" w:afterLines="50" w:line="540" w:lineRule="exact"/>
      <w:jc w:val="center"/>
      <w:outlineLvl w:val="1"/>
    </w:pPr>
    <w:rPr>
      <w:rFonts w:ascii="黑体" w:hAnsi="仿宋_GB2312" w:eastAsia="黑体"/>
      <w:bCs/>
      <w:kern w:val="0"/>
      <w:sz w:val="30"/>
      <w:szCs w:val="3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引文目录1"/>
    <w:basedOn w:val="1"/>
    <w:next w:val="1"/>
    <w:qFormat/>
    <w:uiPriority w:val="0"/>
    <w:pPr>
      <w:spacing w:before="100" w:beforeAutospacing="1" w:after="100" w:afterAutospacing="1"/>
      <w:ind w:left="420" w:leftChars="200"/>
    </w:pPr>
    <w:rPr>
      <w:rFonts w:hint="eastAsia" w:ascii="Calibri" w:hAnsi="Calibri" w:cs="黑体"/>
      <w:szCs w:val="21"/>
    </w:rPr>
  </w:style>
  <w:style w:type="paragraph" w:styleId="5">
    <w:name w:val="Body Text"/>
    <w:basedOn w:val="1"/>
    <w:qFormat/>
    <w:uiPriority w:val="0"/>
    <w:pPr>
      <w:spacing w:after="120"/>
    </w:pPr>
    <w:rPr>
      <w:rFonts w:ascii="Times New Roman" w:hAnsi="Times New Roman" w:cs="Times New Roman"/>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正文首行缩进 21"/>
    <w:basedOn w:val="14"/>
    <w:qFormat/>
    <w:uiPriority w:val="0"/>
    <w:pPr>
      <w:ind w:firstLine="420" w:firstLineChars="200"/>
    </w:pPr>
    <w:rPr>
      <w:rFonts w:eastAsia="仿宋"/>
      <w:sz w:val="24"/>
    </w:rPr>
  </w:style>
  <w:style w:type="paragraph" w:customStyle="1" w:styleId="14">
    <w:name w:val="Body Text Indent1"/>
    <w:basedOn w:val="1"/>
    <w:qFormat/>
    <w:uiPriority w:val="0"/>
    <w:pPr>
      <w:spacing w:after="120"/>
      <w:ind w:left="420" w:leftChars="200"/>
    </w:pPr>
    <w:rPr>
      <w:rFonts w:ascii="Calibri" w:hAnsi="Calibri" w:eastAsia="仿宋_GB2312" w:cs="Times New Roman"/>
      <w:sz w:val="32"/>
    </w:rPr>
  </w:style>
  <w:style w:type="paragraph" w:customStyle="1" w:styleId="15">
    <w:name w:val="t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1396</Words>
  <Characters>7959</Characters>
  <Lines>66</Lines>
  <Paragraphs>18</Paragraphs>
  <TotalTime>1</TotalTime>
  <ScaleCrop>false</ScaleCrop>
  <LinksUpToDate>false</LinksUpToDate>
  <CharactersWithSpaces>9337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2021-01-14T06:55:00Z</dcterms:created>
  <dc:creator>Administrator</dc:creator>
  <cp:lastModifiedBy>Administrator</cp:lastModifiedBy>
  <cp:lastPrinted>2021-01-29T01:18:00Z</cp:lastPrinted>
  <dcterms:modified xsi:type="dcterms:W3CDTF">2021-12-28T01:56:30Z</dcterms:modified>
  <dc:title>奉化区“百村百业、强村富民”三年行动计划</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