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56" w:beforeLines="50" w:after="156" w:afterLines="50" w:line="360" w:lineRule="auto"/>
        <w:ind w:firstLine="642"/>
        <w:jc w:val="center"/>
        <w:rPr>
          <w:rFonts w:hint="eastAsia" w:hAnsi="Times New Roman" w:eastAsia="仿宋" w:asciiTheme="majorHAnsi"/>
          <w:b/>
          <w:bCs/>
          <w:color w:val="000000" w:themeColor="text1"/>
          <w:sz w:val="32"/>
          <w:szCs w:val="32"/>
          <w:lang w:val="en-US" w:eastAsia="zh-CN"/>
          <w14:textFill>
            <w14:solidFill>
              <w14:schemeClr w14:val="tx1"/>
            </w14:solidFill>
          </w14:textFill>
        </w:rPr>
      </w:pPr>
    </w:p>
    <w:p>
      <w:pPr>
        <w:widowControl/>
        <w:adjustRightInd w:val="0"/>
        <w:snapToGrid w:val="0"/>
        <w:spacing w:before="156" w:beforeLines="50" w:after="156" w:afterLines="50" w:line="360" w:lineRule="auto"/>
        <w:ind w:firstLine="642"/>
        <w:jc w:val="center"/>
        <w:rPr>
          <w:rFonts w:hint="eastAsia" w:hAnsi="Times New Roman" w:eastAsia="仿宋" w:asciiTheme="majorHAnsi"/>
          <w:b/>
          <w:bCs/>
          <w:color w:val="000000" w:themeColor="text1"/>
          <w:sz w:val="32"/>
          <w:szCs w:val="32"/>
          <w:lang w:val="en-US" w:eastAsia="zh-CN"/>
          <w14:textFill>
            <w14:solidFill>
              <w14:schemeClr w14:val="tx1"/>
            </w14:solidFill>
          </w14:textFill>
        </w:rPr>
      </w:pPr>
    </w:p>
    <w:p>
      <w:pPr>
        <w:widowControl/>
        <w:adjustRightInd w:val="0"/>
        <w:snapToGrid w:val="0"/>
        <w:spacing w:before="156" w:beforeLines="50" w:after="156" w:afterLines="50" w:line="360" w:lineRule="auto"/>
        <w:ind w:firstLine="642"/>
        <w:jc w:val="center"/>
        <w:rPr>
          <w:rFonts w:hint="eastAsia" w:hAnsi="Times New Roman" w:eastAsia="仿宋" w:asciiTheme="majorHAnsi"/>
          <w:b/>
          <w:bCs/>
          <w:color w:val="000000" w:themeColor="text1"/>
          <w:sz w:val="32"/>
          <w:szCs w:val="32"/>
          <w:lang w:val="en-US" w:eastAsia="zh-CN"/>
          <w14:textFill>
            <w14:solidFill>
              <w14:schemeClr w14:val="tx1"/>
            </w14:solidFill>
          </w14:textFill>
        </w:rPr>
      </w:pPr>
    </w:p>
    <w:p>
      <w:pPr>
        <w:widowControl/>
        <w:adjustRightInd w:val="0"/>
        <w:snapToGrid w:val="0"/>
        <w:spacing w:before="156" w:beforeLines="50" w:after="156" w:afterLines="50" w:line="360" w:lineRule="auto"/>
        <w:ind w:firstLine="642"/>
        <w:jc w:val="center"/>
        <w:rPr>
          <w:rFonts w:hint="eastAsia" w:hAnsi="Times New Roman" w:eastAsia="仿宋" w:asciiTheme="majorHAnsi"/>
          <w:b/>
          <w:bCs/>
          <w:color w:val="000000" w:themeColor="text1"/>
          <w:sz w:val="32"/>
          <w:szCs w:val="32"/>
          <w:lang w:val="en-US" w:eastAsia="zh-CN"/>
          <w14:textFill>
            <w14:solidFill>
              <w14:schemeClr w14:val="tx1"/>
            </w14:solidFill>
          </w14:textFill>
        </w:rPr>
      </w:pPr>
    </w:p>
    <w:p>
      <w:pPr>
        <w:widowControl/>
        <w:adjustRightInd w:val="0"/>
        <w:snapToGrid w:val="0"/>
        <w:spacing w:before="156" w:beforeLines="50" w:after="156" w:afterLines="50" w:line="360" w:lineRule="auto"/>
        <w:ind w:firstLine="642"/>
        <w:jc w:val="center"/>
        <w:rPr>
          <w:rFonts w:hint="eastAsia" w:hAnsi="Times New Roman" w:eastAsia="仿宋" w:asciiTheme="majorHAnsi"/>
          <w:b/>
          <w:bCs/>
          <w:color w:val="000000" w:themeColor="text1"/>
          <w:sz w:val="32"/>
          <w:szCs w:val="32"/>
          <w:lang w:val="en-US" w:eastAsia="zh-CN"/>
          <w14:textFill>
            <w14:solidFill>
              <w14:schemeClr w14:val="tx1"/>
            </w14:solidFill>
          </w14:textFill>
        </w:rPr>
      </w:pPr>
    </w:p>
    <w:p>
      <w:pPr>
        <w:widowControl/>
        <w:adjustRightInd w:val="0"/>
        <w:snapToGrid w:val="0"/>
        <w:spacing w:before="120" w:beforeLines="50" w:after="120" w:afterLines="50" w:line="360" w:lineRule="auto"/>
        <w:jc w:val="center"/>
        <w:rPr>
          <w:rFonts w:ascii="Cambria" w:hAnsi="Times New Roman" w:eastAsia="黑体"/>
          <w:b/>
          <w:bCs/>
          <w:sz w:val="52"/>
          <w:szCs w:val="52"/>
        </w:rPr>
      </w:pPr>
      <w:r>
        <w:rPr>
          <w:rFonts w:hint="eastAsia" w:ascii="黑体" w:hAnsi="黑体" w:eastAsia="黑体"/>
          <w:b/>
          <w:bCs/>
          <w:sz w:val="52"/>
          <w:szCs w:val="52"/>
        </w:rPr>
        <w:t>宁波市</w:t>
      </w:r>
      <w:r>
        <w:rPr>
          <w:rFonts w:ascii="黑体" w:hAnsi="黑体" w:eastAsia="黑体"/>
          <w:b/>
          <w:bCs/>
          <w:sz w:val="52"/>
          <w:szCs w:val="52"/>
        </w:rPr>
        <w:t>奉化</w:t>
      </w:r>
      <w:r>
        <w:rPr>
          <w:rFonts w:hint="eastAsia" w:ascii="黑体" w:hAnsi="黑体" w:eastAsia="黑体"/>
          <w:b/>
          <w:bCs/>
          <w:sz w:val="52"/>
          <w:szCs w:val="52"/>
        </w:rPr>
        <w:t>区</w:t>
      </w:r>
      <w:r>
        <w:rPr>
          <w:rFonts w:ascii="Cambria" w:hAnsi="Times New Roman" w:eastAsia="黑体"/>
          <w:b/>
          <w:bCs/>
          <w:sz w:val="52"/>
          <w:szCs w:val="52"/>
        </w:rPr>
        <w:t>“</w:t>
      </w:r>
      <w:r>
        <w:rPr>
          <w:rFonts w:ascii="黑体" w:hAnsi="黑体" w:eastAsia="黑体"/>
          <w:b/>
          <w:bCs/>
          <w:sz w:val="52"/>
          <w:szCs w:val="52"/>
        </w:rPr>
        <w:t>十</w:t>
      </w:r>
      <w:r>
        <w:rPr>
          <w:rFonts w:hint="eastAsia" w:ascii="黑体" w:hAnsi="黑体" w:eastAsia="黑体"/>
          <w:b/>
          <w:bCs/>
          <w:sz w:val="52"/>
          <w:szCs w:val="52"/>
        </w:rPr>
        <w:t>四</w:t>
      </w:r>
      <w:r>
        <w:rPr>
          <w:rFonts w:ascii="黑体" w:hAnsi="黑体" w:eastAsia="黑体"/>
          <w:b/>
          <w:bCs/>
          <w:sz w:val="52"/>
          <w:szCs w:val="52"/>
        </w:rPr>
        <w:t>五</w:t>
      </w:r>
      <w:r>
        <w:rPr>
          <w:rFonts w:ascii="Cambria" w:hAnsi="Times New Roman" w:eastAsia="黑体"/>
          <w:b/>
          <w:bCs/>
          <w:sz w:val="52"/>
          <w:szCs w:val="52"/>
        </w:rPr>
        <w:t>”</w:t>
      </w:r>
      <w:r>
        <w:rPr>
          <w:rFonts w:ascii="黑体" w:hAnsi="黑体" w:eastAsia="黑体"/>
          <w:b/>
          <w:bCs/>
          <w:sz w:val="52"/>
          <w:szCs w:val="52"/>
        </w:rPr>
        <w:t>科技创新</w:t>
      </w:r>
    </w:p>
    <w:p>
      <w:pPr>
        <w:widowControl/>
        <w:adjustRightInd w:val="0"/>
        <w:snapToGrid w:val="0"/>
        <w:spacing w:before="120" w:beforeLines="50" w:after="120" w:afterLines="50" w:line="360" w:lineRule="auto"/>
        <w:jc w:val="center"/>
        <w:rPr>
          <w:rFonts w:ascii="Cambria" w:hAnsi="Times New Roman" w:eastAsia="黑体"/>
          <w:b/>
          <w:bCs/>
          <w:sz w:val="52"/>
          <w:szCs w:val="52"/>
        </w:rPr>
      </w:pPr>
      <w:r>
        <w:rPr>
          <w:rFonts w:ascii="黑体" w:hAnsi="黑体" w:eastAsia="黑体"/>
          <w:b/>
          <w:bCs/>
          <w:sz w:val="52"/>
          <w:szCs w:val="52"/>
        </w:rPr>
        <w:t>发展规划</w:t>
      </w:r>
      <w:r>
        <w:rPr>
          <w:rFonts w:ascii="Cambria" w:hAnsi="Times New Roman" w:eastAsia="黑体"/>
          <w:b/>
          <w:bCs/>
          <w:sz w:val="52"/>
          <w:szCs w:val="52"/>
        </w:rPr>
        <w:t>(2021-2025</w:t>
      </w:r>
      <w:r>
        <w:rPr>
          <w:rFonts w:ascii="黑体" w:hAnsi="黑体" w:eastAsia="黑体"/>
          <w:b/>
          <w:bCs/>
          <w:sz w:val="52"/>
          <w:szCs w:val="52"/>
        </w:rPr>
        <w:t>年</w:t>
      </w:r>
      <w:r>
        <w:rPr>
          <w:rFonts w:ascii="Cambria" w:hAnsi="Cambria" w:eastAsia="黑体"/>
          <w:b/>
          <w:bCs/>
          <w:sz w:val="52"/>
          <w:szCs w:val="52"/>
        </w:rPr>
        <w:t>)</w:t>
      </w:r>
    </w:p>
    <w:p>
      <w:pPr>
        <w:jc w:val="center"/>
        <w:rPr>
          <w:rFonts w:ascii="方正小标宋简体" w:eastAsia="方正小标宋简体"/>
          <w:sz w:val="44"/>
          <w:szCs w:val="44"/>
        </w:rPr>
      </w:pPr>
      <w:r>
        <w:rPr>
          <w:rFonts w:hint="eastAsia" w:ascii="方正小标宋简体" w:eastAsia="方正小标宋简体"/>
          <w:sz w:val="44"/>
          <w:szCs w:val="44"/>
        </w:rPr>
        <w:t>（</w:t>
      </w:r>
      <w:r>
        <w:rPr>
          <w:rFonts w:hint="eastAsia" w:ascii="方正小标宋简体" w:eastAsia="方正小标宋简体"/>
          <w:sz w:val="44"/>
          <w:szCs w:val="44"/>
          <w:lang w:eastAsia="zh-CN"/>
        </w:rPr>
        <w:t>征求意见稿</w:t>
      </w:r>
      <w:r>
        <w:rPr>
          <w:rFonts w:hint="eastAsia" w:ascii="方正小标宋简体" w:eastAsia="方正小标宋简体"/>
          <w:sz w:val="44"/>
          <w:szCs w:val="44"/>
        </w:rPr>
        <w:t>）</w:t>
      </w:r>
    </w:p>
    <w:p>
      <w:pPr>
        <w:widowControl/>
        <w:adjustRightInd w:val="0"/>
        <w:snapToGrid w:val="0"/>
        <w:spacing w:before="120" w:beforeLines="50" w:after="120" w:afterLines="50" w:line="360" w:lineRule="auto"/>
        <w:ind w:firstLine="642"/>
        <w:rPr>
          <w:rFonts w:ascii="Cambria" w:hAnsi="Times New Roman" w:eastAsia="仿宋"/>
          <w:b/>
          <w:bCs/>
          <w:sz w:val="32"/>
          <w:szCs w:val="32"/>
        </w:rPr>
      </w:pPr>
      <w:r>
        <w:rPr>
          <w:rFonts w:ascii="Cambria" w:hAnsi="Times New Roman" w:eastAsia="仿宋"/>
          <w:b/>
          <w:bCs/>
          <w:sz w:val="32"/>
          <w:szCs w:val="32"/>
        </w:rPr>
        <w:t xml:space="preserve"> </w:t>
      </w:r>
    </w:p>
    <w:p>
      <w:pPr>
        <w:widowControl/>
        <w:adjustRightInd w:val="0"/>
        <w:snapToGrid w:val="0"/>
        <w:spacing w:before="120" w:beforeLines="50" w:after="120" w:afterLines="50" w:line="360" w:lineRule="auto"/>
        <w:rPr>
          <w:rFonts w:ascii="Cambria" w:hAnsi="Times New Roman" w:eastAsia="仿宋"/>
          <w:b/>
          <w:bCs/>
          <w:sz w:val="32"/>
          <w:szCs w:val="32"/>
        </w:rPr>
      </w:pPr>
      <w:r>
        <w:rPr>
          <w:rFonts w:ascii="Cambria" w:hAnsi="Times New Roman" w:eastAsia="仿宋"/>
          <w:b/>
          <w:bCs/>
          <w:sz w:val="32"/>
          <w:szCs w:val="32"/>
        </w:rPr>
        <w:t xml:space="preserve"> </w:t>
      </w:r>
    </w:p>
    <w:p>
      <w:pPr>
        <w:widowControl/>
        <w:adjustRightInd w:val="0"/>
        <w:snapToGrid w:val="0"/>
        <w:spacing w:before="120" w:beforeLines="50" w:after="120" w:afterLines="50" w:line="360" w:lineRule="auto"/>
        <w:ind w:firstLine="642"/>
        <w:rPr>
          <w:rFonts w:ascii="Cambria" w:hAnsi="Times New Roman" w:eastAsia="仿宋"/>
          <w:b/>
          <w:bCs/>
          <w:sz w:val="32"/>
          <w:szCs w:val="32"/>
        </w:rPr>
      </w:pPr>
      <w:r>
        <w:rPr>
          <w:rFonts w:ascii="Cambria" w:hAnsi="Times New Roman" w:eastAsia="仿宋"/>
          <w:b/>
          <w:bCs/>
          <w:sz w:val="32"/>
          <w:szCs w:val="32"/>
        </w:rPr>
        <w:t xml:space="preserve"> </w:t>
      </w:r>
    </w:p>
    <w:p>
      <w:pPr>
        <w:widowControl/>
        <w:adjustRightInd w:val="0"/>
        <w:snapToGrid w:val="0"/>
        <w:spacing w:before="120" w:beforeLines="50" w:after="120" w:afterLines="50" w:line="360" w:lineRule="auto"/>
        <w:ind w:firstLine="642"/>
        <w:rPr>
          <w:rFonts w:ascii="Cambria" w:hAnsi="Times New Roman" w:eastAsia="仿宋"/>
          <w:b/>
          <w:bCs/>
          <w:sz w:val="32"/>
          <w:szCs w:val="32"/>
        </w:rPr>
      </w:pPr>
      <w:r>
        <w:rPr>
          <w:rFonts w:ascii="Cambria" w:hAnsi="Times New Roman" w:eastAsia="仿宋"/>
          <w:b/>
          <w:bCs/>
          <w:sz w:val="32"/>
          <w:szCs w:val="32"/>
        </w:rPr>
        <w:t xml:space="preserve"> </w:t>
      </w:r>
    </w:p>
    <w:p>
      <w:pPr>
        <w:widowControl/>
        <w:adjustRightInd w:val="0"/>
        <w:snapToGrid w:val="0"/>
        <w:spacing w:before="120" w:beforeLines="50" w:after="120" w:afterLines="50" w:line="360" w:lineRule="auto"/>
        <w:ind w:firstLine="642"/>
        <w:rPr>
          <w:rFonts w:ascii="Cambria" w:hAnsi="Times New Roman" w:eastAsia="仿宋"/>
          <w:b/>
          <w:bCs/>
          <w:sz w:val="32"/>
          <w:szCs w:val="32"/>
        </w:rPr>
      </w:pPr>
      <w:r>
        <w:rPr>
          <w:rFonts w:ascii="Cambria" w:hAnsi="Times New Roman" w:eastAsia="仿宋"/>
          <w:b/>
          <w:bCs/>
          <w:sz w:val="32"/>
          <w:szCs w:val="32"/>
        </w:rPr>
        <w:t xml:space="preserve"> </w:t>
      </w:r>
    </w:p>
    <w:p>
      <w:pPr>
        <w:widowControl/>
        <w:adjustRightInd w:val="0"/>
        <w:snapToGrid w:val="0"/>
        <w:spacing w:before="120" w:beforeLines="50" w:after="120" w:afterLines="50" w:line="360" w:lineRule="auto"/>
        <w:ind w:firstLine="642"/>
        <w:rPr>
          <w:rFonts w:ascii="Cambria" w:hAnsi="Times New Roman" w:eastAsia="仿宋"/>
          <w:b/>
          <w:bCs/>
          <w:sz w:val="32"/>
          <w:szCs w:val="32"/>
        </w:rPr>
      </w:pPr>
      <w:r>
        <w:rPr>
          <w:rFonts w:ascii="Cambria" w:hAnsi="Times New Roman" w:eastAsia="仿宋"/>
          <w:b/>
          <w:bCs/>
          <w:sz w:val="32"/>
          <w:szCs w:val="32"/>
        </w:rPr>
        <w:t xml:space="preserve"> </w:t>
      </w:r>
    </w:p>
    <w:p>
      <w:pPr>
        <w:widowControl/>
        <w:adjustRightInd w:val="0"/>
        <w:snapToGrid w:val="0"/>
        <w:spacing w:before="120" w:beforeLines="50" w:after="120" w:afterLines="50" w:line="360" w:lineRule="auto"/>
        <w:ind w:firstLine="642"/>
        <w:rPr>
          <w:rFonts w:ascii="Cambria" w:hAnsi="Times New Roman" w:eastAsia="仿宋"/>
          <w:b/>
          <w:bCs/>
          <w:sz w:val="32"/>
          <w:szCs w:val="32"/>
        </w:rPr>
      </w:pPr>
      <w:r>
        <w:rPr>
          <w:rFonts w:ascii="Cambria" w:hAnsi="Times New Roman" w:eastAsia="仿宋"/>
          <w:b/>
          <w:bCs/>
          <w:sz w:val="32"/>
          <w:szCs w:val="32"/>
        </w:rPr>
        <w:t xml:space="preserve"> </w:t>
      </w:r>
    </w:p>
    <w:p>
      <w:pPr>
        <w:widowControl/>
        <w:adjustRightInd w:val="0"/>
        <w:snapToGrid w:val="0"/>
        <w:spacing w:before="120" w:beforeLines="50" w:after="120" w:afterLines="50" w:line="360" w:lineRule="auto"/>
        <w:jc w:val="center"/>
        <w:rPr>
          <w:rFonts w:ascii="Cambria" w:hAnsi="Times New Roman" w:eastAsia="仿宋"/>
          <w:sz w:val="36"/>
          <w:szCs w:val="36"/>
        </w:rPr>
      </w:pPr>
      <w:r>
        <w:rPr>
          <w:rFonts w:hint="eastAsia" w:ascii="仿宋" w:hAnsi="仿宋" w:eastAsia="仿宋"/>
          <w:sz w:val="36"/>
          <w:szCs w:val="36"/>
        </w:rPr>
        <w:t>宁波市</w:t>
      </w:r>
      <w:r>
        <w:rPr>
          <w:rFonts w:ascii="仿宋" w:hAnsi="仿宋" w:eastAsia="仿宋"/>
          <w:sz w:val="36"/>
          <w:szCs w:val="36"/>
        </w:rPr>
        <w:t>奉化</w:t>
      </w:r>
      <w:r>
        <w:rPr>
          <w:rFonts w:hint="eastAsia" w:ascii="仿宋" w:hAnsi="仿宋" w:eastAsia="仿宋"/>
          <w:sz w:val="36"/>
          <w:szCs w:val="36"/>
        </w:rPr>
        <w:t>区科学技术局</w:t>
      </w:r>
    </w:p>
    <w:p>
      <w:pPr>
        <w:widowControl/>
        <w:adjustRightInd w:val="0"/>
        <w:snapToGrid w:val="0"/>
        <w:spacing w:before="120" w:beforeLines="50" w:after="120" w:afterLines="50" w:line="360" w:lineRule="auto"/>
        <w:jc w:val="center"/>
        <w:rPr>
          <w:rFonts w:ascii="Cambria" w:hAnsi="Times New Roman" w:eastAsia="黑体"/>
          <w:sz w:val="32"/>
          <w:szCs w:val="32"/>
        </w:rPr>
      </w:pPr>
      <w:r>
        <w:rPr>
          <w:rFonts w:hint="eastAsia" w:ascii="仿宋" w:hAnsi="仿宋" w:eastAsia="仿宋"/>
          <w:sz w:val="32"/>
          <w:szCs w:val="32"/>
        </w:rPr>
        <w:t>二</w:t>
      </w:r>
      <w:r>
        <w:rPr>
          <w:rFonts w:hint="eastAsia" w:ascii="Cambria" w:hAnsi="Times New Roman" w:eastAsia="仿宋"/>
          <w:sz w:val="32"/>
          <w:szCs w:val="32"/>
        </w:rPr>
        <w:t>0</w:t>
      </w:r>
      <w:r>
        <w:rPr>
          <w:rFonts w:hint="eastAsia" w:ascii="仿宋" w:hAnsi="仿宋" w:eastAsia="仿宋"/>
          <w:sz w:val="32"/>
          <w:szCs w:val="32"/>
        </w:rPr>
        <w:t>二一年五月</w:t>
      </w:r>
    </w:p>
    <w:p>
      <w:pPr>
        <w:rPr>
          <w:rFonts w:ascii="Calibri" w:hAnsi="Calibri"/>
          <w:smallCaps/>
          <w:color w:val="auto"/>
          <w:kern w:val="2"/>
          <w:sz w:val="21"/>
          <w:szCs w:val="21"/>
        </w:rPr>
        <w:sectPr>
          <w:pgSz w:w="12240" w:h="15840"/>
          <w:pgMar w:top="1440" w:right="1800" w:bottom="1440" w:left="1800" w:header="720" w:footer="720" w:gutter="0"/>
          <w:cols w:space="720" w:num="1"/>
        </w:sectPr>
      </w:pPr>
    </w:p>
    <w:sdt>
      <w:sdtPr>
        <w:rPr>
          <w:rFonts w:ascii="Calibri" w:hAnsi="Calibri" w:eastAsia="宋体" w:cs="Times New Roman"/>
          <w:smallCaps/>
          <w:color w:val="auto"/>
          <w:kern w:val="2"/>
          <w:sz w:val="21"/>
          <w:szCs w:val="22"/>
          <w:lang w:val="zh-CN"/>
        </w:rPr>
        <w:id w:val="-62800710"/>
        <w:docPartObj>
          <w:docPartGallery w:val="Table of Contents"/>
          <w:docPartUnique/>
        </w:docPartObj>
      </w:sdtPr>
      <w:sdtEndPr>
        <w:rPr>
          <w:rFonts w:ascii="Calibri" w:hAnsi="Calibri" w:eastAsia="宋体" w:cs="Calibri"/>
          <w:b/>
          <w:bCs/>
          <w:smallCaps/>
          <w:color w:val="auto"/>
          <w:kern w:val="2"/>
          <w:sz w:val="24"/>
          <w:szCs w:val="20"/>
          <w:lang w:val="zh-CN"/>
        </w:rPr>
      </w:sdtEndPr>
      <w:sdtContent>
        <w:p>
          <w:pPr>
            <w:pStyle w:val="15"/>
            <w:jc w:val="center"/>
            <w:rPr>
              <w:rFonts w:ascii="黑体" w:hAnsi="黑体" w:eastAsia="黑体"/>
              <w:color w:val="auto"/>
              <w:sz w:val="40"/>
            </w:rPr>
          </w:pPr>
          <w:r>
            <w:rPr>
              <w:rFonts w:ascii="黑体" w:hAnsi="黑体" w:eastAsia="黑体"/>
              <w:color w:val="auto"/>
              <w:sz w:val="40"/>
              <w:lang w:val="zh-CN"/>
            </w:rPr>
            <w:t>目录</w:t>
          </w:r>
        </w:p>
        <w:p>
          <w:pPr>
            <w:pStyle w:val="8"/>
            <w:tabs>
              <w:tab w:val="right" w:leader="dot" w:pos="8296"/>
            </w:tabs>
            <w:spacing w:line="360" w:lineRule="auto"/>
            <w:rPr>
              <w:rFonts w:asciiTheme="minorHAnsi" w:hAnsiTheme="minorHAnsi" w:eastAsiaTheme="minorEastAsia" w:cstheme="minorBidi"/>
              <w:b w:val="0"/>
              <w:bCs w:val="0"/>
              <w:caps w:val="0"/>
              <w:sz w:val="24"/>
              <w:szCs w:val="24"/>
            </w:rPr>
          </w:pPr>
          <w:r>
            <w:rPr>
              <w:sz w:val="180"/>
            </w:rPr>
            <w:fldChar w:fldCharType="begin"/>
          </w:r>
          <w:r>
            <w:rPr>
              <w:sz w:val="180"/>
            </w:rPr>
            <w:instrText xml:space="preserve"> TOC \o "1-3" \h \z \u </w:instrText>
          </w:r>
          <w:r>
            <w:rPr>
              <w:sz w:val="180"/>
            </w:rPr>
            <w:fldChar w:fldCharType="separate"/>
          </w:r>
          <w:r>
            <w:fldChar w:fldCharType="begin"/>
          </w:r>
          <w:r>
            <w:instrText xml:space="preserve"> HYPERLINK \l "_Toc65657695" </w:instrText>
          </w:r>
          <w:r>
            <w:fldChar w:fldCharType="separate"/>
          </w:r>
          <w:r>
            <w:rPr>
              <w:rStyle w:val="14"/>
              <w:rFonts w:hAnsi="Times New Roman" w:eastAsia="黑体" w:asciiTheme="majorHAnsi"/>
              <w:color w:val="auto"/>
              <w:sz w:val="24"/>
              <w:szCs w:val="24"/>
            </w:rPr>
            <w:t>一、发展基础与面临形势</w:t>
          </w:r>
          <w:r>
            <w:rPr>
              <w:sz w:val="24"/>
              <w:szCs w:val="24"/>
            </w:rPr>
            <w:tab/>
          </w:r>
          <w:r>
            <w:rPr>
              <w:sz w:val="24"/>
              <w:szCs w:val="24"/>
            </w:rPr>
            <w:fldChar w:fldCharType="begin"/>
          </w:r>
          <w:r>
            <w:rPr>
              <w:sz w:val="24"/>
              <w:szCs w:val="24"/>
            </w:rPr>
            <w:instrText xml:space="preserve"> PAGEREF _Toc65657695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9"/>
            <w:tabs>
              <w:tab w:val="right" w:leader="dot" w:pos="8296"/>
            </w:tabs>
            <w:spacing w:line="360" w:lineRule="auto"/>
            <w:rPr>
              <w:rFonts w:asciiTheme="minorHAnsi" w:hAnsiTheme="minorHAnsi" w:eastAsiaTheme="minorEastAsia" w:cstheme="minorBidi"/>
              <w:smallCaps w:val="0"/>
              <w:sz w:val="24"/>
              <w:szCs w:val="24"/>
            </w:rPr>
          </w:pPr>
          <w:r>
            <w:fldChar w:fldCharType="begin"/>
          </w:r>
          <w:r>
            <w:instrText xml:space="preserve"> HYPERLINK \l "_Toc65657696" </w:instrText>
          </w:r>
          <w:r>
            <w:fldChar w:fldCharType="separate"/>
          </w:r>
          <w:r>
            <w:rPr>
              <w:rStyle w:val="14"/>
              <w:rFonts w:ascii="楷体" w:hAnsi="楷体" w:eastAsia="楷体"/>
              <w:color w:val="auto"/>
              <w:sz w:val="24"/>
              <w:szCs w:val="24"/>
            </w:rPr>
            <w:t>（一）现实基础</w:t>
          </w:r>
          <w:r>
            <w:rPr>
              <w:sz w:val="24"/>
              <w:szCs w:val="24"/>
            </w:rPr>
            <w:tab/>
          </w:r>
          <w:r>
            <w:rPr>
              <w:sz w:val="24"/>
              <w:szCs w:val="24"/>
            </w:rPr>
            <w:fldChar w:fldCharType="begin"/>
          </w:r>
          <w:r>
            <w:rPr>
              <w:sz w:val="24"/>
              <w:szCs w:val="24"/>
            </w:rPr>
            <w:instrText xml:space="preserve"> PAGEREF _Toc65657696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9"/>
            <w:tabs>
              <w:tab w:val="right" w:leader="dot" w:pos="8296"/>
            </w:tabs>
            <w:spacing w:line="360" w:lineRule="auto"/>
            <w:rPr>
              <w:rFonts w:asciiTheme="minorHAnsi" w:hAnsiTheme="minorHAnsi" w:eastAsiaTheme="minorEastAsia" w:cstheme="minorBidi"/>
              <w:smallCaps w:val="0"/>
              <w:sz w:val="24"/>
              <w:szCs w:val="24"/>
            </w:rPr>
          </w:pPr>
          <w:r>
            <w:fldChar w:fldCharType="begin"/>
          </w:r>
          <w:r>
            <w:instrText xml:space="preserve"> HYPERLINK \l "_Toc65657697" </w:instrText>
          </w:r>
          <w:r>
            <w:fldChar w:fldCharType="separate"/>
          </w:r>
          <w:r>
            <w:rPr>
              <w:rStyle w:val="14"/>
              <w:rFonts w:ascii="楷体" w:hAnsi="楷体" w:eastAsia="楷体"/>
              <w:color w:val="auto"/>
              <w:sz w:val="24"/>
              <w:szCs w:val="24"/>
            </w:rPr>
            <w:t>（二）面临形势</w:t>
          </w:r>
          <w:r>
            <w:rPr>
              <w:sz w:val="24"/>
              <w:szCs w:val="24"/>
            </w:rPr>
            <w:tab/>
          </w:r>
          <w:r>
            <w:rPr>
              <w:sz w:val="24"/>
              <w:szCs w:val="24"/>
            </w:rPr>
            <w:fldChar w:fldCharType="begin"/>
          </w:r>
          <w:r>
            <w:rPr>
              <w:sz w:val="24"/>
              <w:szCs w:val="24"/>
            </w:rPr>
            <w:instrText xml:space="preserve"> PAGEREF _Toc65657697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9"/>
            <w:tabs>
              <w:tab w:val="right" w:leader="dot" w:pos="8296"/>
            </w:tabs>
            <w:spacing w:line="360" w:lineRule="auto"/>
            <w:rPr>
              <w:rFonts w:asciiTheme="minorHAnsi" w:hAnsiTheme="minorHAnsi" w:eastAsiaTheme="minorEastAsia" w:cstheme="minorBidi"/>
              <w:smallCaps w:val="0"/>
              <w:sz w:val="24"/>
              <w:szCs w:val="24"/>
            </w:rPr>
          </w:pPr>
          <w:r>
            <w:fldChar w:fldCharType="begin"/>
          </w:r>
          <w:r>
            <w:instrText xml:space="preserve"> HYPERLINK \l "_Toc65657698" </w:instrText>
          </w:r>
          <w:r>
            <w:fldChar w:fldCharType="separate"/>
          </w:r>
          <w:r>
            <w:rPr>
              <w:rStyle w:val="14"/>
              <w:rFonts w:ascii="楷体" w:hAnsi="楷体" w:eastAsia="楷体"/>
              <w:color w:val="auto"/>
              <w:sz w:val="24"/>
              <w:szCs w:val="24"/>
            </w:rPr>
            <w:t>（三）问题短板</w:t>
          </w:r>
          <w:r>
            <w:rPr>
              <w:sz w:val="24"/>
              <w:szCs w:val="24"/>
            </w:rPr>
            <w:tab/>
          </w:r>
          <w:r>
            <w:rPr>
              <w:sz w:val="24"/>
              <w:szCs w:val="24"/>
            </w:rPr>
            <w:fldChar w:fldCharType="begin"/>
          </w:r>
          <w:r>
            <w:rPr>
              <w:sz w:val="24"/>
              <w:szCs w:val="24"/>
            </w:rPr>
            <w:instrText xml:space="preserve"> PAGEREF _Toc65657698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8"/>
            <w:tabs>
              <w:tab w:val="right" w:leader="dot" w:pos="8296"/>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"_Toc65657699" </w:instrText>
          </w:r>
          <w:r>
            <w:fldChar w:fldCharType="separate"/>
          </w:r>
          <w:r>
            <w:rPr>
              <w:rStyle w:val="14"/>
              <w:rFonts w:hAnsi="Times New Roman" w:eastAsia="黑体" w:asciiTheme="majorHAnsi"/>
              <w:color w:val="auto"/>
              <w:sz w:val="24"/>
              <w:szCs w:val="24"/>
            </w:rPr>
            <w:t>二、总体要求与发展目标</w:t>
          </w:r>
          <w:r>
            <w:rPr>
              <w:sz w:val="24"/>
              <w:szCs w:val="24"/>
            </w:rPr>
            <w:tab/>
          </w:r>
          <w:r>
            <w:rPr>
              <w:sz w:val="24"/>
              <w:szCs w:val="24"/>
            </w:rPr>
            <w:fldChar w:fldCharType="begin"/>
          </w:r>
          <w:r>
            <w:rPr>
              <w:sz w:val="24"/>
              <w:szCs w:val="24"/>
            </w:rPr>
            <w:instrText xml:space="preserve"> PAGEREF _Toc65657699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9"/>
            <w:tabs>
              <w:tab w:val="right" w:leader="dot" w:pos="8296"/>
            </w:tabs>
            <w:spacing w:line="360" w:lineRule="auto"/>
            <w:rPr>
              <w:rFonts w:asciiTheme="minorHAnsi" w:hAnsiTheme="minorHAnsi" w:eastAsiaTheme="minorEastAsia" w:cstheme="minorBidi"/>
              <w:smallCaps w:val="0"/>
              <w:sz w:val="24"/>
              <w:szCs w:val="24"/>
            </w:rPr>
          </w:pPr>
          <w:r>
            <w:fldChar w:fldCharType="begin"/>
          </w:r>
          <w:r>
            <w:instrText xml:space="preserve"> HYPERLINK \l "_Toc65657700" </w:instrText>
          </w:r>
          <w:r>
            <w:fldChar w:fldCharType="separate"/>
          </w:r>
          <w:r>
            <w:rPr>
              <w:rStyle w:val="14"/>
              <w:rFonts w:ascii="楷体" w:hAnsi="楷体" w:eastAsia="楷体"/>
              <w:color w:val="auto"/>
              <w:sz w:val="24"/>
              <w:szCs w:val="24"/>
            </w:rPr>
            <w:t>（一）指导思想</w:t>
          </w:r>
          <w:r>
            <w:rPr>
              <w:sz w:val="24"/>
              <w:szCs w:val="24"/>
            </w:rPr>
            <w:tab/>
          </w:r>
          <w:r>
            <w:rPr>
              <w:sz w:val="24"/>
              <w:szCs w:val="24"/>
            </w:rPr>
            <w:fldChar w:fldCharType="begin"/>
          </w:r>
          <w:r>
            <w:rPr>
              <w:sz w:val="24"/>
              <w:szCs w:val="24"/>
            </w:rPr>
            <w:instrText xml:space="preserve"> PAGEREF _Toc65657700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9"/>
            <w:tabs>
              <w:tab w:val="right" w:leader="dot" w:pos="8296"/>
            </w:tabs>
            <w:spacing w:line="360" w:lineRule="auto"/>
            <w:rPr>
              <w:rFonts w:asciiTheme="minorHAnsi" w:hAnsiTheme="minorHAnsi" w:eastAsiaTheme="minorEastAsia" w:cstheme="minorBidi"/>
              <w:smallCaps w:val="0"/>
              <w:sz w:val="24"/>
              <w:szCs w:val="24"/>
            </w:rPr>
          </w:pPr>
          <w:r>
            <w:fldChar w:fldCharType="begin"/>
          </w:r>
          <w:r>
            <w:instrText xml:space="preserve"> HYPERLINK \l "_Toc65657701" </w:instrText>
          </w:r>
          <w:r>
            <w:fldChar w:fldCharType="separate"/>
          </w:r>
          <w:r>
            <w:rPr>
              <w:rStyle w:val="14"/>
              <w:rFonts w:ascii="楷体" w:hAnsi="楷体" w:eastAsia="楷体"/>
              <w:color w:val="auto"/>
              <w:sz w:val="24"/>
              <w:szCs w:val="24"/>
            </w:rPr>
            <w:t>（二）基本原则</w:t>
          </w:r>
          <w:r>
            <w:rPr>
              <w:sz w:val="24"/>
              <w:szCs w:val="24"/>
            </w:rPr>
            <w:tab/>
          </w:r>
          <w:r>
            <w:rPr>
              <w:sz w:val="24"/>
              <w:szCs w:val="24"/>
            </w:rPr>
            <w:fldChar w:fldCharType="begin"/>
          </w:r>
          <w:r>
            <w:rPr>
              <w:sz w:val="24"/>
              <w:szCs w:val="24"/>
            </w:rPr>
            <w:instrText xml:space="preserve"> PAGEREF _Toc65657701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9"/>
            <w:tabs>
              <w:tab w:val="right" w:leader="dot" w:pos="8296"/>
            </w:tabs>
            <w:spacing w:line="360" w:lineRule="auto"/>
            <w:rPr>
              <w:rFonts w:asciiTheme="minorHAnsi" w:hAnsiTheme="minorHAnsi" w:eastAsiaTheme="minorEastAsia" w:cstheme="minorBidi"/>
              <w:smallCaps w:val="0"/>
              <w:sz w:val="24"/>
              <w:szCs w:val="24"/>
            </w:rPr>
          </w:pPr>
          <w:r>
            <w:fldChar w:fldCharType="begin"/>
          </w:r>
          <w:r>
            <w:instrText xml:space="preserve"> HYPERLINK \l "_Toc65657702" </w:instrText>
          </w:r>
          <w:r>
            <w:fldChar w:fldCharType="separate"/>
          </w:r>
          <w:r>
            <w:rPr>
              <w:rStyle w:val="14"/>
              <w:rFonts w:ascii="楷体" w:hAnsi="楷体" w:eastAsia="楷体"/>
              <w:color w:val="auto"/>
              <w:sz w:val="24"/>
              <w:szCs w:val="24"/>
            </w:rPr>
            <w:t>（三）发展目标</w:t>
          </w:r>
          <w:r>
            <w:rPr>
              <w:sz w:val="24"/>
              <w:szCs w:val="24"/>
            </w:rPr>
            <w:tab/>
          </w:r>
          <w:r>
            <w:rPr>
              <w:sz w:val="24"/>
              <w:szCs w:val="24"/>
            </w:rPr>
            <w:fldChar w:fldCharType="begin"/>
          </w:r>
          <w:r>
            <w:rPr>
              <w:sz w:val="24"/>
              <w:szCs w:val="24"/>
            </w:rPr>
            <w:instrText xml:space="preserve"> PAGEREF _Toc65657702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8"/>
            <w:tabs>
              <w:tab w:val="right" w:leader="dot" w:pos="8296"/>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"_Toc65657703" </w:instrText>
          </w:r>
          <w:r>
            <w:fldChar w:fldCharType="separate"/>
          </w:r>
          <w:r>
            <w:rPr>
              <w:rStyle w:val="14"/>
              <w:rFonts w:hAnsi="Times New Roman" w:eastAsia="黑体" w:asciiTheme="majorHAnsi"/>
              <w:color w:val="auto"/>
              <w:sz w:val="24"/>
              <w:szCs w:val="24"/>
            </w:rPr>
            <w:t>三、重点任务</w:t>
          </w:r>
          <w:r>
            <w:rPr>
              <w:sz w:val="24"/>
              <w:szCs w:val="24"/>
            </w:rPr>
            <w:tab/>
          </w:r>
          <w:r>
            <w:rPr>
              <w:sz w:val="24"/>
              <w:szCs w:val="24"/>
            </w:rPr>
            <w:fldChar w:fldCharType="begin"/>
          </w:r>
          <w:r>
            <w:rPr>
              <w:sz w:val="24"/>
              <w:szCs w:val="24"/>
            </w:rPr>
            <w:instrText xml:space="preserve"> PAGEREF _Toc65657703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9"/>
            <w:tabs>
              <w:tab w:val="right" w:leader="dot" w:pos="8296"/>
            </w:tabs>
            <w:spacing w:line="360" w:lineRule="auto"/>
            <w:rPr>
              <w:rFonts w:asciiTheme="minorHAnsi" w:hAnsiTheme="minorHAnsi" w:eastAsiaTheme="minorEastAsia" w:cstheme="minorBidi"/>
              <w:smallCaps w:val="0"/>
              <w:sz w:val="24"/>
              <w:szCs w:val="24"/>
            </w:rPr>
          </w:pPr>
          <w:r>
            <w:fldChar w:fldCharType="begin"/>
          </w:r>
          <w:r>
            <w:instrText xml:space="preserve"> HYPERLINK \l "_Toc65657704" </w:instrText>
          </w:r>
          <w:r>
            <w:fldChar w:fldCharType="separate"/>
          </w:r>
          <w:r>
            <w:rPr>
              <w:rStyle w:val="14"/>
              <w:rFonts w:ascii="楷体" w:hAnsi="楷体" w:eastAsia="楷体"/>
              <w:color w:val="auto"/>
              <w:sz w:val="24"/>
              <w:szCs w:val="24"/>
            </w:rPr>
            <w:t>（一）创新主体育苗造林工程</w:t>
          </w:r>
          <w:r>
            <w:rPr>
              <w:sz w:val="24"/>
              <w:szCs w:val="24"/>
            </w:rPr>
            <w:tab/>
          </w:r>
          <w:r>
            <w:rPr>
              <w:sz w:val="24"/>
              <w:szCs w:val="24"/>
            </w:rPr>
            <w:fldChar w:fldCharType="begin"/>
          </w:r>
          <w:r>
            <w:rPr>
              <w:sz w:val="24"/>
              <w:szCs w:val="24"/>
            </w:rPr>
            <w:instrText xml:space="preserve"> PAGEREF _Toc65657704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"_Toc65657705" </w:instrText>
          </w:r>
          <w:r>
            <w:fldChar w:fldCharType="separate"/>
          </w:r>
          <w:r>
            <w:rPr>
              <w:rStyle w:val="14"/>
              <w:rFonts w:ascii="仿宋" w:hAnsi="仿宋" w:eastAsia="仿宋"/>
              <w:i w:val="0"/>
              <w:color w:val="auto"/>
              <w:sz w:val="24"/>
              <w:szCs w:val="24"/>
            </w:rPr>
            <w:t>1、“小而美”企业育苗行动</w:t>
          </w:r>
          <w:r>
            <w:rPr>
              <w:i w:val="0"/>
              <w:sz w:val="24"/>
              <w:szCs w:val="24"/>
            </w:rPr>
            <w:tab/>
          </w:r>
          <w:r>
            <w:rPr>
              <w:i w:val="0"/>
              <w:sz w:val="24"/>
              <w:szCs w:val="24"/>
            </w:rPr>
            <w:fldChar w:fldCharType="begin"/>
          </w:r>
          <w:r>
            <w:rPr>
              <w:i w:val="0"/>
              <w:sz w:val="24"/>
              <w:szCs w:val="24"/>
            </w:rPr>
            <w:instrText xml:space="preserve"> PAGEREF _Toc65657705 \h </w:instrText>
          </w:r>
          <w:r>
            <w:rPr>
              <w:i w:val="0"/>
              <w:sz w:val="24"/>
              <w:szCs w:val="24"/>
            </w:rPr>
            <w:fldChar w:fldCharType="separate"/>
          </w:r>
          <w:r>
            <w:rPr>
              <w:i w:val="0"/>
              <w:sz w:val="24"/>
              <w:szCs w:val="24"/>
            </w:rPr>
            <w:t>13</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"_Toc65657706" </w:instrText>
          </w:r>
          <w:r>
            <w:fldChar w:fldCharType="separate"/>
          </w:r>
          <w:r>
            <w:rPr>
              <w:rStyle w:val="14"/>
              <w:rFonts w:ascii="仿宋" w:hAnsi="仿宋" w:eastAsia="仿宋"/>
              <w:i w:val="0"/>
              <w:color w:val="auto"/>
              <w:sz w:val="24"/>
              <w:szCs w:val="24"/>
            </w:rPr>
            <w:t>2、科技型中小企业造林行动</w:t>
          </w:r>
          <w:r>
            <w:rPr>
              <w:i w:val="0"/>
              <w:sz w:val="24"/>
              <w:szCs w:val="24"/>
            </w:rPr>
            <w:tab/>
          </w:r>
          <w:r>
            <w:rPr>
              <w:i w:val="0"/>
              <w:sz w:val="24"/>
              <w:szCs w:val="24"/>
            </w:rPr>
            <w:fldChar w:fldCharType="begin"/>
          </w:r>
          <w:r>
            <w:rPr>
              <w:i w:val="0"/>
              <w:sz w:val="24"/>
              <w:szCs w:val="24"/>
            </w:rPr>
            <w:instrText xml:space="preserve"> PAGEREF _Toc65657706 \h </w:instrText>
          </w:r>
          <w:r>
            <w:rPr>
              <w:i w:val="0"/>
              <w:sz w:val="24"/>
              <w:szCs w:val="24"/>
            </w:rPr>
            <w:fldChar w:fldCharType="separate"/>
          </w:r>
          <w:r>
            <w:rPr>
              <w:i w:val="0"/>
              <w:sz w:val="24"/>
              <w:szCs w:val="24"/>
            </w:rPr>
            <w:t>14</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"_Toc65657707" </w:instrText>
          </w:r>
          <w:r>
            <w:fldChar w:fldCharType="separate"/>
          </w:r>
          <w:r>
            <w:rPr>
              <w:rStyle w:val="14"/>
              <w:rFonts w:ascii="仿宋" w:hAnsi="仿宋" w:eastAsia="仿宋"/>
              <w:i w:val="0"/>
              <w:color w:val="auto"/>
              <w:sz w:val="24"/>
              <w:szCs w:val="24"/>
            </w:rPr>
            <w:t>3、高新技术企业增量提质行动</w:t>
          </w:r>
          <w:r>
            <w:rPr>
              <w:i w:val="0"/>
              <w:sz w:val="24"/>
              <w:szCs w:val="24"/>
            </w:rPr>
            <w:tab/>
          </w:r>
          <w:r>
            <w:rPr>
              <w:i w:val="0"/>
              <w:sz w:val="24"/>
              <w:szCs w:val="24"/>
            </w:rPr>
            <w:fldChar w:fldCharType="begin"/>
          </w:r>
          <w:r>
            <w:rPr>
              <w:i w:val="0"/>
              <w:sz w:val="24"/>
              <w:szCs w:val="24"/>
            </w:rPr>
            <w:instrText xml:space="preserve"> PAGEREF _Toc65657707 \h </w:instrText>
          </w:r>
          <w:r>
            <w:rPr>
              <w:i w:val="0"/>
              <w:sz w:val="24"/>
              <w:szCs w:val="24"/>
            </w:rPr>
            <w:fldChar w:fldCharType="separate"/>
          </w:r>
          <w:r>
            <w:rPr>
              <w:i w:val="0"/>
              <w:sz w:val="24"/>
              <w:szCs w:val="24"/>
            </w:rPr>
            <w:t>14</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"_Toc65657708" </w:instrText>
          </w:r>
          <w:r>
            <w:fldChar w:fldCharType="separate"/>
          </w:r>
          <w:r>
            <w:rPr>
              <w:rStyle w:val="14"/>
              <w:rFonts w:ascii="仿宋" w:hAnsi="仿宋" w:eastAsia="仿宋"/>
              <w:i w:val="0"/>
              <w:color w:val="auto"/>
              <w:sz w:val="24"/>
              <w:szCs w:val="24"/>
            </w:rPr>
            <w:t>4、创新型领军企业引领行动</w:t>
          </w:r>
          <w:r>
            <w:rPr>
              <w:i w:val="0"/>
              <w:sz w:val="24"/>
              <w:szCs w:val="24"/>
            </w:rPr>
            <w:tab/>
          </w:r>
          <w:r>
            <w:rPr>
              <w:i w:val="0"/>
              <w:sz w:val="24"/>
              <w:szCs w:val="24"/>
            </w:rPr>
            <w:fldChar w:fldCharType="begin"/>
          </w:r>
          <w:r>
            <w:rPr>
              <w:i w:val="0"/>
              <w:sz w:val="24"/>
              <w:szCs w:val="24"/>
            </w:rPr>
            <w:instrText xml:space="preserve"> PAGEREF _Toc65657708 \h </w:instrText>
          </w:r>
          <w:r>
            <w:rPr>
              <w:i w:val="0"/>
              <w:sz w:val="24"/>
              <w:szCs w:val="24"/>
            </w:rPr>
            <w:fldChar w:fldCharType="separate"/>
          </w:r>
          <w:r>
            <w:rPr>
              <w:i w:val="0"/>
              <w:sz w:val="24"/>
              <w:szCs w:val="24"/>
            </w:rPr>
            <w:t>15</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"_Toc65657709" </w:instrText>
          </w:r>
          <w:r>
            <w:fldChar w:fldCharType="separate"/>
          </w:r>
          <w:r>
            <w:rPr>
              <w:rStyle w:val="14"/>
              <w:rFonts w:ascii="仿宋" w:hAnsi="仿宋" w:eastAsia="仿宋"/>
              <w:i w:val="0"/>
              <w:color w:val="auto"/>
              <w:sz w:val="24"/>
              <w:szCs w:val="24"/>
            </w:rPr>
            <w:t>5、企业研发机构提升行动</w:t>
          </w:r>
          <w:r>
            <w:rPr>
              <w:i w:val="0"/>
              <w:sz w:val="24"/>
              <w:szCs w:val="24"/>
            </w:rPr>
            <w:tab/>
          </w:r>
          <w:r>
            <w:rPr>
              <w:i w:val="0"/>
              <w:sz w:val="24"/>
              <w:szCs w:val="24"/>
            </w:rPr>
            <w:fldChar w:fldCharType="begin"/>
          </w:r>
          <w:r>
            <w:rPr>
              <w:i w:val="0"/>
              <w:sz w:val="24"/>
              <w:szCs w:val="24"/>
            </w:rPr>
            <w:instrText xml:space="preserve"> PAGEREF _Toc65657709 \h </w:instrText>
          </w:r>
          <w:r>
            <w:rPr>
              <w:i w:val="0"/>
              <w:sz w:val="24"/>
              <w:szCs w:val="24"/>
            </w:rPr>
            <w:fldChar w:fldCharType="separate"/>
          </w:r>
          <w:r>
            <w:rPr>
              <w:i w:val="0"/>
              <w:sz w:val="24"/>
              <w:szCs w:val="24"/>
            </w:rPr>
            <w:t>15</w:t>
          </w:r>
          <w:r>
            <w:rPr>
              <w:i w:val="0"/>
              <w:sz w:val="24"/>
              <w:szCs w:val="24"/>
            </w:rPr>
            <w:fldChar w:fldCharType="end"/>
          </w:r>
          <w:r>
            <w:rPr>
              <w:i w:val="0"/>
              <w:sz w:val="24"/>
              <w:szCs w:val="24"/>
            </w:rPr>
            <w:fldChar w:fldCharType="end"/>
          </w:r>
        </w:p>
        <w:p>
          <w:pPr>
            <w:pStyle w:val="9"/>
            <w:tabs>
              <w:tab w:val="right" w:leader="dot" w:pos="8296"/>
            </w:tabs>
            <w:spacing w:line="360" w:lineRule="auto"/>
            <w:rPr>
              <w:rFonts w:asciiTheme="minorHAnsi" w:hAnsiTheme="minorHAnsi" w:eastAsiaTheme="minorEastAsia" w:cstheme="minorBidi"/>
              <w:smallCaps w:val="0"/>
              <w:sz w:val="24"/>
              <w:szCs w:val="24"/>
            </w:rPr>
          </w:pPr>
          <w:r>
            <w:fldChar w:fldCharType="begin"/>
          </w:r>
          <w:r>
            <w:instrText xml:space="preserve"> HYPERLINK \l "_Toc65657710" </w:instrText>
          </w:r>
          <w:r>
            <w:fldChar w:fldCharType="separate"/>
          </w:r>
          <w:r>
            <w:rPr>
              <w:rStyle w:val="14"/>
              <w:rFonts w:ascii="楷体" w:hAnsi="楷体" w:eastAsia="楷体"/>
              <w:color w:val="auto"/>
              <w:sz w:val="24"/>
              <w:szCs w:val="24"/>
            </w:rPr>
            <w:t>（二）创新平台扩容提质工程</w:t>
          </w:r>
          <w:r>
            <w:rPr>
              <w:sz w:val="24"/>
              <w:szCs w:val="24"/>
            </w:rPr>
            <w:tab/>
          </w:r>
          <w:r>
            <w:rPr>
              <w:sz w:val="24"/>
              <w:szCs w:val="24"/>
            </w:rPr>
            <w:fldChar w:fldCharType="begin"/>
          </w:r>
          <w:r>
            <w:rPr>
              <w:sz w:val="24"/>
              <w:szCs w:val="24"/>
            </w:rPr>
            <w:instrText xml:space="preserve"> PAGEREF _Toc65657710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"_Toc65657711" </w:instrText>
          </w:r>
          <w:r>
            <w:fldChar w:fldCharType="separate"/>
          </w:r>
          <w:r>
            <w:rPr>
              <w:rStyle w:val="14"/>
              <w:rFonts w:ascii="仿宋" w:hAnsi="仿宋" w:eastAsia="仿宋"/>
              <w:i w:val="0"/>
              <w:color w:val="auto"/>
              <w:sz w:val="24"/>
              <w:szCs w:val="24"/>
            </w:rPr>
            <w:t>1、高水平建设3号青创大走廊</w:t>
          </w:r>
          <w:r>
            <w:rPr>
              <w:i w:val="0"/>
              <w:sz w:val="24"/>
              <w:szCs w:val="24"/>
            </w:rPr>
            <w:tab/>
          </w:r>
          <w:r>
            <w:rPr>
              <w:i w:val="0"/>
              <w:sz w:val="24"/>
              <w:szCs w:val="24"/>
            </w:rPr>
            <w:fldChar w:fldCharType="begin"/>
          </w:r>
          <w:r>
            <w:rPr>
              <w:i w:val="0"/>
              <w:sz w:val="24"/>
              <w:szCs w:val="24"/>
            </w:rPr>
            <w:instrText xml:space="preserve"> PAGEREF _Toc65657711 \h </w:instrText>
          </w:r>
          <w:r>
            <w:rPr>
              <w:i w:val="0"/>
              <w:sz w:val="24"/>
              <w:szCs w:val="24"/>
            </w:rPr>
            <w:fldChar w:fldCharType="separate"/>
          </w:r>
          <w:r>
            <w:rPr>
              <w:i w:val="0"/>
              <w:sz w:val="24"/>
              <w:szCs w:val="24"/>
            </w:rPr>
            <w:t>16</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"_Toc65657712" </w:instrText>
          </w:r>
          <w:r>
            <w:fldChar w:fldCharType="separate"/>
          </w:r>
          <w:r>
            <w:rPr>
              <w:rStyle w:val="14"/>
              <w:rFonts w:ascii="仿宋" w:hAnsi="仿宋" w:eastAsia="仿宋"/>
              <w:i w:val="0"/>
              <w:color w:val="auto"/>
              <w:sz w:val="24"/>
              <w:szCs w:val="24"/>
            </w:rPr>
            <w:t>2、加快建设高水平研发机构</w:t>
          </w:r>
          <w:r>
            <w:rPr>
              <w:i w:val="0"/>
              <w:sz w:val="24"/>
              <w:szCs w:val="24"/>
            </w:rPr>
            <w:tab/>
          </w:r>
          <w:r>
            <w:rPr>
              <w:i w:val="0"/>
              <w:sz w:val="24"/>
              <w:szCs w:val="24"/>
            </w:rPr>
            <w:fldChar w:fldCharType="begin"/>
          </w:r>
          <w:r>
            <w:rPr>
              <w:i w:val="0"/>
              <w:sz w:val="24"/>
              <w:szCs w:val="24"/>
            </w:rPr>
            <w:instrText xml:space="preserve"> PAGEREF _Toc65657712 \h </w:instrText>
          </w:r>
          <w:r>
            <w:rPr>
              <w:i w:val="0"/>
              <w:sz w:val="24"/>
              <w:szCs w:val="24"/>
            </w:rPr>
            <w:fldChar w:fldCharType="separate"/>
          </w:r>
          <w:r>
            <w:rPr>
              <w:i w:val="0"/>
              <w:sz w:val="24"/>
              <w:szCs w:val="24"/>
            </w:rPr>
            <w:t>17</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"_Toc65657713" </w:instrText>
          </w:r>
          <w:r>
            <w:fldChar w:fldCharType="separate"/>
          </w:r>
          <w:r>
            <w:rPr>
              <w:rStyle w:val="14"/>
              <w:rFonts w:ascii="仿宋" w:hAnsi="仿宋" w:eastAsia="仿宋"/>
              <w:i w:val="0"/>
              <w:color w:val="auto"/>
              <w:sz w:val="24"/>
              <w:szCs w:val="24"/>
            </w:rPr>
            <w:t>3、高质量建设产业创新服务综合体</w:t>
          </w:r>
          <w:r>
            <w:rPr>
              <w:i w:val="0"/>
              <w:sz w:val="24"/>
              <w:szCs w:val="24"/>
            </w:rPr>
            <w:tab/>
          </w:r>
          <w:r>
            <w:rPr>
              <w:i w:val="0"/>
              <w:sz w:val="24"/>
              <w:szCs w:val="24"/>
            </w:rPr>
            <w:fldChar w:fldCharType="begin"/>
          </w:r>
          <w:r>
            <w:rPr>
              <w:i w:val="0"/>
              <w:sz w:val="24"/>
              <w:szCs w:val="24"/>
            </w:rPr>
            <w:instrText xml:space="preserve"> PAGEREF _Toc65657713 \h </w:instrText>
          </w:r>
          <w:r>
            <w:rPr>
              <w:i w:val="0"/>
              <w:sz w:val="24"/>
              <w:szCs w:val="24"/>
            </w:rPr>
            <w:fldChar w:fldCharType="separate"/>
          </w:r>
          <w:r>
            <w:rPr>
              <w:i w:val="0"/>
              <w:sz w:val="24"/>
              <w:szCs w:val="24"/>
            </w:rPr>
            <w:t>18</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"_Toc65657714" </w:instrText>
          </w:r>
          <w:r>
            <w:fldChar w:fldCharType="separate"/>
          </w:r>
          <w:r>
            <w:rPr>
              <w:rStyle w:val="14"/>
              <w:rFonts w:ascii="仿宋" w:hAnsi="仿宋" w:eastAsia="仿宋"/>
              <w:i w:val="0"/>
              <w:color w:val="auto"/>
              <w:sz w:val="24"/>
              <w:szCs w:val="24"/>
            </w:rPr>
            <w:t>4、加快集聚专业化科技创业孵化平台</w:t>
          </w:r>
          <w:r>
            <w:rPr>
              <w:i w:val="0"/>
              <w:sz w:val="24"/>
              <w:szCs w:val="24"/>
            </w:rPr>
            <w:tab/>
          </w:r>
          <w:r>
            <w:rPr>
              <w:i w:val="0"/>
              <w:sz w:val="24"/>
              <w:szCs w:val="24"/>
            </w:rPr>
            <w:fldChar w:fldCharType="begin"/>
          </w:r>
          <w:r>
            <w:rPr>
              <w:i w:val="0"/>
              <w:sz w:val="24"/>
              <w:szCs w:val="24"/>
            </w:rPr>
            <w:instrText xml:space="preserve"> PAGEREF _Toc65657714 \h </w:instrText>
          </w:r>
          <w:r>
            <w:rPr>
              <w:i w:val="0"/>
              <w:sz w:val="24"/>
              <w:szCs w:val="24"/>
            </w:rPr>
            <w:fldChar w:fldCharType="separate"/>
          </w:r>
          <w:r>
            <w:rPr>
              <w:i w:val="0"/>
              <w:sz w:val="24"/>
              <w:szCs w:val="24"/>
            </w:rPr>
            <w:t>18</w:t>
          </w:r>
          <w:r>
            <w:rPr>
              <w:i w:val="0"/>
              <w:sz w:val="24"/>
              <w:szCs w:val="24"/>
            </w:rPr>
            <w:fldChar w:fldCharType="end"/>
          </w:r>
          <w:r>
            <w:rPr>
              <w:i w:val="0"/>
              <w:sz w:val="24"/>
              <w:szCs w:val="24"/>
            </w:rPr>
            <w:fldChar w:fldCharType="end"/>
          </w:r>
        </w:p>
        <w:p>
          <w:pPr>
            <w:pStyle w:val="9"/>
            <w:tabs>
              <w:tab w:val="right" w:leader="dot" w:pos="8296"/>
            </w:tabs>
            <w:spacing w:line="360" w:lineRule="auto"/>
            <w:rPr>
              <w:rFonts w:asciiTheme="minorHAnsi" w:hAnsiTheme="minorHAnsi" w:eastAsiaTheme="minorEastAsia" w:cstheme="minorBidi"/>
              <w:smallCaps w:val="0"/>
              <w:sz w:val="24"/>
              <w:szCs w:val="24"/>
            </w:rPr>
          </w:pPr>
          <w:r>
            <w:fldChar w:fldCharType="begin"/>
          </w:r>
          <w:r>
            <w:instrText xml:space="preserve"> HYPERLINK \l "_Toc65657715" </w:instrText>
          </w:r>
          <w:r>
            <w:fldChar w:fldCharType="separate"/>
          </w:r>
          <w:r>
            <w:rPr>
              <w:rStyle w:val="14"/>
              <w:rFonts w:ascii="楷体" w:hAnsi="楷体" w:eastAsia="楷体"/>
              <w:color w:val="auto"/>
              <w:sz w:val="24"/>
              <w:szCs w:val="24"/>
            </w:rPr>
            <w:t>（三）产业技术支撑引领工程</w:t>
          </w:r>
          <w:r>
            <w:rPr>
              <w:sz w:val="24"/>
              <w:szCs w:val="24"/>
            </w:rPr>
            <w:tab/>
          </w:r>
          <w:r>
            <w:rPr>
              <w:sz w:val="24"/>
              <w:szCs w:val="24"/>
            </w:rPr>
            <w:fldChar w:fldCharType="begin"/>
          </w:r>
          <w:r>
            <w:rPr>
              <w:sz w:val="24"/>
              <w:szCs w:val="24"/>
            </w:rPr>
            <w:instrText xml:space="preserve"> PAGEREF _Toc65657715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"_Toc65657716" </w:instrText>
          </w:r>
          <w:r>
            <w:fldChar w:fldCharType="separate"/>
          </w:r>
          <w:r>
            <w:rPr>
              <w:rStyle w:val="14"/>
              <w:rFonts w:ascii="仿宋" w:hAnsi="仿宋" w:eastAsia="仿宋"/>
              <w:i w:val="0"/>
              <w:color w:val="auto"/>
              <w:sz w:val="24"/>
              <w:szCs w:val="24"/>
            </w:rPr>
            <w:t>1、加大全社会研发投入</w:t>
          </w:r>
          <w:r>
            <w:rPr>
              <w:i w:val="0"/>
              <w:sz w:val="24"/>
              <w:szCs w:val="24"/>
            </w:rPr>
            <w:tab/>
          </w:r>
          <w:r>
            <w:rPr>
              <w:i w:val="0"/>
              <w:sz w:val="24"/>
              <w:szCs w:val="24"/>
            </w:rPr>
            <w:fldChar w:fldCharType="begin"/>
          </w:r>
          <w:r>
            <w:rPr>
              <w:i w:val="0"/>
              <w:sz w:val="24"/>
              <w:szCs w:val="24"/>
            </w:rPr>
            <w:instrText xml:space="preserve"> PAGEREF _Toc65657716 \h </w:instrText>
          </w:r>
          <w:r>
            <w:rPr>
              <w:i w:val="0"/>
              <w:sz w:val="24"/>
              <w:szCs w:val="24"/>
            </w:rPr>
            <w:fldChar w:fldCharType="separate"/>
          </w:r>
          <w:r>
            <w:rPr>
              <w:i w:val="0"/>
              <w:sz w:val="24"/>
              <w:szCs w:val="24"/>
            </w:rPr>
            <w:t>19</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"_Toc65657717" </w:instrText>
          </w:r>
          <w:r>
            <w:fldChar w:fldCharType="separate"/>
          </w:r>
          <w:r>
            <w:rPr>
              <w:rStyle w:val="14"/>
              <w:rFonts w:ascii="仿宋" w:hAnsi="仿宋" w:eastAsia="仿宋"/>
              <w:i w:val="0"/>
              <w:color w:val="auto"/>
              <w:sz w:val="24"/>
              <w:szCs w:val="24"/>
            </w:rPr>
            <w:t>2、开展关键核心技术攻关</w:t>
          </w:r>
          <w:r>
            <w:rPr>
              <w:i w:val="0"/>
              <w:sz w:val="24"/>
              <w:szCs w:val="24"/>
            </w:rPr>
            <w:tab/>
          </w:r>
          <w:r>
            <w:rPr>
              <w:i w:val="0"/>
              <w:sz w:val="24"/>
              <w:szCs w:val="24"/>
            </w:rPr>
            <w:fldChar w:fldCharType="begin"/>
          </w:r>
          <w:r>
            <w:rPr>
              <w:i w:val="0"/>
              <w:sz w:val="24"/>
              <w:szCs w:val="24"/>
            </w:rPr>
            <w:instrText xml:space="preserve"> PAGEREF _Toc65657717 \h </w:instrText>
          </w:r>
          <w:r>
            <w:rPr>
              <w:i w:val="0"/>
              <w:sz w:val="24"/>
              <w:szCs w:val="24"/>
            </w:rPr>
            <w:fldChar w:fldCharType="separate"/>
          </w:r>
          <w:r>
            <w:rPr>
              <w:i w:val="0"/>
              <w:sz w:val="24"/>
              <w:szCs w:val="24"/>
            </w:rPr>
            <w:t>19</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"_Toc65657718" </w:instrText>
          </w:r>
          <w:r>
            <w:fldChar w:fldCharType="separate"/>
          </w:r>
          <w:r>
            <w:rPr>
              <w:rStyle w:val="14"/>
              <w:rFonts w:ascii="仿宋" w:hAnsi="仿宋" w:eastAsia="仿宋"/>
              <w:i w:val="0"/>
              <w:color w:val="auto"/>
              <w:sz w:val="24"/>
              <w:szCs w:val="24"/>
            </w:rPr>
            <w:t>3、加快新兴产业培育发展</w:t>
          </w:r>
          <w:r>
            <w:rPr>
              <w:i w:val="0"/>
              <w:sz w:val="24"/>
              <w:szCs w:val="24"/>
            </w:rPr>
            <w:tab/>
          </w:r>
          <w:r>
            <w:rPr>
              <w:i w:val="0"/>
              <w:sz w:val="24"/>
              <w:szCs w:val="24"/>
            </w:rPr>
            <w:fldChar w:fldCharType="begin"/>
          </w:r>
          <w:r>
            <w:rPr>
              <w:i w:val="0"/>
              <w:sz w:val="24"/>
              <w:szCs w:val="24"/>
            </w:rPr>
            <w:instrText xml:space="preserve"> PAGEREF _Toc65657718 \h </w:instrText>
          </w:r>
          <w:r>
            <w:rPr>
              <w:i w:val="0"/>
              <w:sz w:val="24"/>
              <w:szCs w:val="24"/>
            </w:rPr>
            <w:fldChar w:fldCharType="separate"/>
          </w:r>
          <w:r>
            <w:rPr>
              <w:i w:val="0"/>
              <w:sz w:val="24"/>
              <w:szCs w:val="24"/>
            </w:rPr>
            <w:t>21</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"_Toc65657719" </w:instrText>
          </w:r>
          <w:r>
            <w:fldChar w:fldCharType="separate"/>
          </w:r>
          <w:r>
            <w:rPr>
              <w:rStyle w:val="14"/>
              <w:rFonts w:ascii="仿宋" w:hAnsi="仿宋" w:eastAsia="仿宋"/>
              <w:i w:val="0"/>
              <w:color w:val="auto"/>
              <w:sz w:val="24"/>
              <w:szCs w:val="24"/>
            </w:rPr>
            <w:t>4、大力发展高技术服务业</w:t>
          </w:r>
          <w:r>
            <w:rPr>
              <w:i w:val="0"/>
              <w:sz w:val="24"/>
              <w:szCs w:val="24"/>
            </w:rPr>
            <w:tab/>
          </w:r>
          <w:r>
            <w:rPr>
              <w:i w:val="0"/>
              <w:sz w:val="24"/>
              <w:szCs w:val="24"/>
            </w:rPr>
            <w:fldChar w:fldCharType="begin"/>
          </w:r>
          <w:r>
            <w:rPr>
              <w:i w:val="0"/>
              <w:sz w:val="24"/>
              <w:szCs w:val="24"/>
            </w:rPr>
            <w:instrText xml:space="preserve"> PAGEREF _Toc65657719 \h </w:instrText>
          </w:r>
          <w:r>
            <w:rPr>
              <w:i w:val="0"/>
              <w:sz w:val="24"/>
              <w:szCs w:val="24"/>
            </w:rPr>
            <w:fldChar w:fldCharType="separate"/>
          </w:r>
          <w:r>
            <w:rPr>
              <w:i w:val="0"/>
              <w:sz w:val="24"/>
              <w:szCs w:val="24"/>
            </w:rPr>
            <w:t>21</w:t>
          </w:r>
          <w:r>
            <w:rPr>
              <w:i w:val="0"/>
              <w:sz w:val="24"/>
              <w:szCs w:val="24"/>
            </w:rPr>
            <w:fldChar w:fldCharType="end"/>
          </w:r>
          <w:r>
            <w:rPr>
              <w:i w:val="0"/>
              <w:sz w:val="24"/>
              <w:szCs w:val="24"/>
            </w:rPr>
            <w:fldChar w:fldCharType="end"/>
          </w:r>
        </w:p>
        <w:p>
          <w:pPr>
            <w:pStyle w:val="9"/>
            <w:tabs>
              <w:tab w:val="right" w:leader="dot" w:pos="8296"/>
            </w:tabs>
            <w:spacing w:line="360" w:lineRule="auto"/>
            <w:rPr>
              <w:rFonts w:asciiTheme="minorHAnsi" w:hAnsiTheme="minorHAnsi" w:eastAsiaTheme="minorEastAsia" w:cstheme="minorBidi"/>
              <w:smallCaps w:val="0"/>
              <w:sz w:val="24"/>
              <w:szCs w:val="24"/>
            </w:rPr>
          </w:pPr>
          <w:r>
            <w:fldChar w:fldCharType="begin"/>
          </w:r>
          <w:r>
            <w:instrText xml:space="preserve"> HYPERLINK \l "_Toc65657720" </w:instrText>
          </w:r>
          <w:r>
            <w:fldChar w:fldCharType="separate"/>
          </w:r>
          <w:r>
            <w:rPr>
              <w:rStyle w:val="14"/>
              <w:rFonts w:ascii="楷体" w:hAnsi="楷体" w:eastAsia="楷体"/>
              <w:color w:val="auto"/>
              <w:sz w:val="24"/>
              <w:szCs w:val="24"/>
            </w:rPr>
            <w:t>（四）开放协同创新推进工程</w:t>
          </w:r>
          <w:r>
            <w:rPr>
              <w:sz w:val="24"/>
              <w:szCs w:val="24"/>
            </w:rPr>
            <w:tab/>
          </w:r>
          <w:r>
            <w:rPr>
              <w:sz w:val="24"/>
              <w:szCs w:val="24"/>
            </w:rPr>
            <w:fldChar w:fldCharType="begin"/>
          </w:r>
          <w:r>
            <w:rPr>
              <w:sz w:val="24"/>
              <w:szCs w:val="24"/>
            </w:rPr>
            <w:instrText xml:space="preserve"> PAGEREF _Toc65657720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"_Toc65657721" </w:instrText>
          </w:r>
          <w:r>
            <w:fldChar w:fldCharType="separate"/>
          </w:r>
          <w:r>
            <w:rPr>
              <w:rStyle w:val="14"/>
              <w:rFonts w:ascii="仿宋" w:hAnsi="仿宋" w:eastAsia="仿宋"/>
              <w:i w:val="0"/>
              <w:color w:val="auto"/>
              <w:sz w:val="24"/>
              <w:szCs w:val="24"/>
            </w:rPr>
            <w:t>1、构建产学研协同创新机制</w:t>
          </w:r>
          <w:r>
            <w:rPr>
              <w:i w:val="0"/>
              <w:sz w:val="24"/>
              <w:szCs w:val="24"/>
            </w:rPr>
            <w:tab/>
          </w:r>
          <w:r>
            <w:rPr>
              <w:i w:val="0"/>
              <w:sz w:val="24"/>
              <w:szCs w:val="24"/>
            </w:rPr>
            <w:fldChar w:fldCharType="begin"/>
          </w:r>
          <w:r>
            <w:rPr>
              <w:i w:val="0"/>
              <w:sz w:val="24"/>
              <w:szCs w:val="24"/>
            </w:rPr>
            <w:instrText xml:space="preserve"> PAGEREF _Toc65657721 \h </w:instrText>
          </w:r>
          <w:r>
            <w:rPr>
              <w:i w:val="0"/>
              <w:sz w:val="24"/>
              <w:szCs w:val="24"/>
            </w:rPr>
            <w:fldChar w:fldCharType="separate"/>
          </w:r>
          <w:r>
            <w:rPr>
              <w:i w:val="0"/>
              <w:sz w:val="24"/>
              <w:szCs w:val="24"/>
            </w:rPr>
            <w:t>22</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"_Toc65657722" </w:instrText>
          </w:r>
          <w:r>
            <w:fldChar w:fldCharType="separate"/>
          </w:r>
          <w:r>
            <w:rPr>
              <w:rStyle w:val="14"/>
              <w:rFonts w:ascii="仿宋" w:hAnsi="仿宋" w:eastAsia="仿宋"/>
              <w:i w:val="0"/>
              <w:color w:val="auto"/>
              <w:sz w:val="24"/>
              <w:szCs w:val="24"/>
            </w:rPr>
            <w:t>2、完善科技成果转化机制</w:t>
          </w:r>
          <w:r>
            <w:rPr>
              <w:i w:val="0"/>
              <w:sz w:val="24"/>
              <w:szCs w:val="24"/>
            </w:rPr>
            <w:tab/>
          </w:r>
          <w:r>
            <w:rPr>
              <w:i w:val="0"/>
              <w:sz w:val="24"/>
              <w:szCs w:val="24"/>
            </w:rPr>
            <w:fldChar w:fldCharType="begin"/>
          </w:r>
          <w:r>
            <w:rPr>
              <w:i w:val="0"/>
              <w:sz w:val="24"/>
              <w:szCs w:val="24"/>
            </w:rPr>
            <w:instrText xml:space="preserve"> PAGEREF _Toc65657722 \h </w:instrText>
          </w:r>
          <w:r>
            <w:rPr>
              <w:i w:val="0"/>
              <w:sz w:val="24"/>
              <w:szCs w:val="24"/>
            </w:rPr>
            <w:fldChar w:fldCharType="separate"/>
          </w:r>
          <w:r>
            <w:rPr>
              <w:i w:val="0"/>
              <w:sz w:val="24"/>
              <w:szCs w:val="24"/>
            </w:rPr>
            <w:t>22</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"_Toc65657723" </w:instrText>
          </w:r>
          <w:r>
            <w:fldChar w:fldCharType="separate"/>
          </w:r>
          <w:r>
            <w:rPr>
              <w:rStyle w:val="14"/>
              <w:rFonts w:ascii="仿宋" w:hAnsi="仿宋" w:eastAsia="仿宋"/>
              <w:i w:val="0"/>
              <w:color w:val="auto"/>
              <w:sz w:val="24"/>
              <w:szCs w:val="24"/>
            </w:rPr>
            <w:t>3、推进多层次科技开放合作</w:t>
          </w:r>
          <w:r>
            <w:rPr>
              <w:i w:val="0"/>
              <w:sz w:val="24"/>
              <w:szCs w:val="24"/>
            </w:rPr>
            <w:tab/>
          </w:r>
          <w:r>
            <w:rPr>
              <w:i w:val="0"/>
              <w:sz w:val="24"/>
              <w:szCs w:val="24"/>
            </w:rPr>
            <w:fldChar w:fldCharType="begin"/>
          </w:r>
          <w:r>
            <w:rPr>
              <w:i w:val="0"/>
              <w:sz w:val="24"/>
              <w:szCs w:val="24"/>
            </w:rPr>
            <w:instrText xml:space="preserve"> PAGEREF _Toc65657723 \h </w:instrText>
          </w:r>
          <w:r>
            <w:rPr>
              <w:i w:val="0"/>
              <w:sz w:val="24"/>
              <w:szCs w:val="24"/>
            </w:rPr>
            <w:fldChar w:fldCharType="separate"/>
          </w:r>
          <w:r>
            <w:rPr>
              <w:i w:val="0"/>
              <w:sz w:val="24"/>
              <w:szCs w:val="24"/>
            </w:rPr>
            <w:t>23</w:t>
          </w:r>
          <w:r>
            <w:rPr>
              <w:i w:val="0"/>
              <w:sz w:val="24"/>
              <w:szCs w:val="24"/>
            </w:rPr>
            <w:fldChar w:fldCharType="end"/>
          </w:r>
          <w:r>
            <w:rPr>
              <w:i w:val="0"/>
              <w:sz w:val="24"/>
              <w:szCs w:val="24"/>
            </w:rPr>
            <w:fldChar w:fldCharType="end"/>
          </w:r>
        </w:p>
        <w:p>
          <w:pPr>
            <w:pStyle w:val="9"/>
            <w:tabs>
              <w:tab w:val="right" w:leader="dot" w:pos="8296"/>
            </w:tabs>
            <w:spacing w:line="360" w:lineRule="auto"/>
            <w:rPr>
              <w:rFonts w:hint="eastAsia" w:asciiTheme="minorHAnsi" w:hAnsiTheme="minorHAnsi" w:eastAsiaTheme="minorEastAsia" w:cstheme="minorBidi"/>
              <w:smallCaps w:val="0"/>
              <w:sz w:val="24"/>
              <w:szCs w:val="24"/>
              <w:lang w:val="en-US" w:eastAsia="zh-CN"/>
            </w:rPr>
          </w:pPr>
          <w:r>
            <w:fldChar w:fldCharType="begin"/>
          </w:r>
          <w:r>
            <w:instrText xml:space="preserve"> HYPERLINK \l "_Toc65657724" </w:instrText>
          </w:r>
          <w:r>
            <w:fldChar w:fldCharType="separate"/>
          </w:r>
          <w:r>
            <w:rPr>
              <w:rStyle w:val="14"/>
              <w:rFonts w:ascii="楷体" w:hAnsi="楷体" w:eastAsia="楷体"/>
              <w:color w:val="auto"/>
              <w:sz w:val="24"/>
              <w:szCs w:val="24"/>
            </w:rPr>
            <w:t>（五）科技惠农惠民提升工程</w:t>
          </w:r>
          <w:r>
            <w:rPr>
              <w:sz w:val="24"/>
              <w:szCs w:val="24"/>
            </w:rPr>
            <w:tab/>
          </w:r>
          <w:r>
            <w:rPr>
              <w:sz w:val="24"/>
              <w:szCs w:val="24"/>
            </w:rPr>
            <w:fldChar w:fldCharType="begin"/>
          </w:r>
          <w:r>
            <w:rPr>
              <w:sz w:val="24"/>
              <w:szCs w:val="24"/>
            </w:rPr>
            <w:instrText xml:space="preserve"> PAGEREF _Toc65657724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6"/>
            <w:tabs>
              <w:tab w:val="right" w:leader="dot" w:pos="8296"/>
            </w:tabs>
            <w:spacing w:line="360" w:lineRule="auto"/>
            <w:rPr>
              <w:rFonts w:hint="eastAsia" w:asciiTheme="minorHAnsi" w:hAnsiTheme="minorHAnsi" w:eastAsiaTheme="minorEastAsia" w:cstheme="minorBidi"/>
              <w:i w:val="0"/>
              <w:iCs w:val="0"/>
              <w:sz w:val="24"/>
              <w:szCs w:val="24"/>
              <w:lang w:val="en-US" w:eastAsia="zh-CN"/>
            </w:rPr>
          </w:pPr>
          <w:r>
            <w:fldChar w:fldCharType="begin"/>
          </w:r>
          <w:r>
            <w:instrText xml:space="preserve"> HYPERLINK \l "_Toc65657725" </w:instrText>
          </w:r>
          <w:r>
            <w:fldChar w:fldCharType="separate"/>
          </w:r>
          <w:r>
            <w:rPr>
              <w:rStyle w:val="14"/>
              <w:rFonts w:ascii="仿宋" w:hAnsi="仿宋" w:eastAsia="仿宋"/>
              <w:i w:val="0"/>
              <w:color w:val="auto"/>
              <w:sz w:val="24"/>
              <w:szCs w:val="24"/>
            </w:rPr>
            <w:t>1、科技创新惠农行动</w:t>
          </w:r>
          <w:r>
            <w:rPr>
              <w:i w:val="0"/>
              <w:sz w:val="24"/>
              <w:szCs w:val="24"/>
            </w:rPr>
            <w:tab/>
          </w:r>
          <w:r>
            <w:rPr>
              <w:i w:val="0"/>
              <w:sz w:val="24"/>
              <w:szCs w:val="24"/>
            </w:rPr>
            <w:fldChar w:fldCharType="begin"/>
          </w:r>
          <w:r>
            <w:rPr>
              <w:i w:val="0"/>
              <w:sz w:val="24"/>
              <w:szCs w:val="24"/>
            </w:rPr>
            <w:instrText xml:space="preserve"> PAGEREF _Toc65657725 \h </w:instrText>
          </w:r>
          <w:r>
            <w:rPr>
              <w:i w:val="0"/>
              <w:sz w:val="24"/>
              <w:szCs w:val="24"/>
            </w:rPr>
            <w:fldChar w:fldCharType="separate"/>
          </w:r>
          <w:r>
            <w:rPr>
              <w:i w:val="0"/>
              <w:sz w:val="24"/>
              <w:szCs w:val="24"/>
            </w:rPr>
            <w:t>24</w:t>
          </w:r>
          <w:r>
            <w:rPr>
              <w:i w:val="0"/>
              <w:sz w:val="24"/>
              <w:szCs w:val="24"/>
            </w:rPr>
            <w:fldChar w:fldCharType="end"/>
          </w:r>
          <w:r>
            <w:rPr>
              <w:i w:val="0"/>
              <w:sz w:val="24"/>
              <w:szCs w:val="24"/>
            </w:rPr>
            <w:fldChar w:fldCharType="end"/>
          </w:r>
        </w:p>
        <w:p>
          <w:pPr>
            <w:pStyle w:val="6"/>
            <w:tabs>
              <w:tab w:val="right" w:leader="dot" w:pos="8296"/>
            </w:tabs>
            <w:spacing w:line="360" w:lineRule="auto"/>
            <w:rPr>
              <w:rFonts w:hint="eastAsia" w:asciiTheme="minorHAnsi" w:hAnsiTheme="minorHAnsi" w:eastAsiaTheme="minorEastAsia" w:cstheme="minorBidi"/>
              <w:i w:val="0"/>
              <w:iCs w:val="0"/>
              <w:sz w:val="24"/>
              <w:szCs w:val="24"/>
              <w:lang w:val="en-US" w:eastAsia="zh-CN"/>
            </w:rPr>
          </w:pPr>
          <w:r>
            <w:fldChar w:fldCharType="begin"/>
          </w:r>
          <w:r>
            <w:instrText xml:space="preserve"> HYPERLINK \l "_Toc65657726" </w:instrText>
          </w:r>
          <w:r>
            <w:fldChar w:fldCharType="separate"/>
          </w:r>
          <w:r>
            <w:rPr>
              <w:rStyle w:val="14"/>
              <w:rFonts w:ascii="仿宋" w:hAnsi="仿宋" w:eastAsia="仿宋"/>
              <w:i w:val="0"/>
              <w:color w:val="auto"/>
              <w:sz w:val="24"/>
              <w:szCs w:val="24"/>
            </w:rPr>
            <w:t>2、健康生态惠民行动</w:t>
          </w:r>
          <w:r>
            <w:rPr>
              <w:i w:val="0"/>
              <w:sz w:val="24"/>
              <w:szCs w:val="24"/>
            </w:rPr>
            <w:tab/>
          </w:r>
          <w:r>
            <w:rPr>
              <w:i w:val="0"/>
              <w:sz w:val="24"/>
              <w:szCs w:val="24"/>
            </w:rPr>
            <w:fldChar w:fldCharType="begin"/>
          </w:r>
          <w:r>
            <w:rPr>
              <w:i w:val="0"/>
              <w:sz w:val="24"/>
              <w:szCs w:val="24"/>
            </w:rPr>
            <w:instrText xml:space="preserve"> PAGEREF _Toc65657726 \h </w:instrText>
          </w:r>
          <w:r>
            <w:rPr>
              <w:i w:val="0"/>
              <w:sz w:val="24"/>
              <w:szCs w:val="24"/>
            </w:rPr>
            <w:fldChar w:fldCharType="separate"/>
          </w:r>
          <w:r>
            <w:rPr>
              <w:i w:val="0"/>
              <w:sz w:val="24"/>
              <w:szCs w:val="24"/>
            </w:rPr>
            <w:t>24</w:t>
          </w:r>
          <w:r>
            <w:rPr>
              <w:i w:val="0"/>
              <w:sz w:val="24"/>
              <w:szCs w:val="24"/>
            </w:rPr>
            <w:fldChar w:fldCharType="end"/>
          </w:r>
          <w:r>
            <w:rPr>
              <w:i w:val="0"/>
              <w:sz w:val="24"/>
              <w:szCs w:val="24"/>
            </w:rPr>
            <w:fldChar w:fldCharType="end"/>
          </w:r>
        </w:p>
        <w:p>
          <w:pPr>
            <w:pStyle w:val="6"/>
            <w:tabs>
              <w:tab w:val="right" w:leader="dot" w:pos="8296"/>
            </w:tabs>
            <w:spacing w:line="360" w:lineRule="auto"/>
            <w:rPr>
              <w:rFonts w:hint="eastAsia" w:asciiTheme="minorHAnsi" w:hAnsiTheme="minorHAnsi" w:eastAsiaTheme="minorEastAsia" w:cstheme="minorBidi"/>
              <w:i w:val="0"/>
              <w:iCs w:val="0"/>
              <w:sz w:val="24"/>
              <w:szCs w:val="24"/>
              <w:lang w:val="en-US" w:eastAsia="zh-CN"/>
            </w:rPr>
          </w:pPr>
          <w:r>
            <w:fldChar w:fldCharType="begin"/>
          </w:r>
          <w:r>
            <w:instrText xml:space="preserve"> HYPERLINK \l "_Toc65657727" </w:instrText>
          </w:r>
          <w:r>
            <w:fldChar w:fldCharType="separate"/>
          </w:r>
          <w:r>
            <w:rPr>
              <w:rStyle w:val="14"/>
              <w:rFonts w:ascii="仿宋" w:hAnsi="仿宋" w:eastAsia="仿宋"/>
              <w:i w:val="0"/>
              <w:color w:val="auto"/>
              <w:sz w:val="24"/>
              <w:szCs w:val="24"/>
            </w:rPr>
            <w:t>3、智慧</w:t>
          </w:r>
          <w:r>
            <w:rPr>
              <w:rStyle w:val="14"/>
              <w:rFonts w:hint="eastAsia" w:ascii="仿宋" w:hAnsi="仿宋" w:eastAsia="仿宋"/>
              <w:i w:val="0"/>
              <w:color w:val="auto"/>
              <w:sz w:val="24"/>
              <w:szCs w:val="24"/>
              <w:lang w:eastAsia="zh-CN"/>
            </w:rPr>
            <w:t>农业</w:t>
          </w:r>
          <w:r>
            <w:rPr>
              <w:rStyle w:val="14"/>
              <w:rFonts w:ascii="仿宋" w:hAnsi="仿宋" w:eastAsia="仿宋"/>
              <w:i w:val="0"/>
              <w:color w:val="auto"/>
              <w:sz w:val="24"/>
              <w:szCs w:val="24"/>
            </w:rPr>
            <w:t>提升行动</w:t>
          </w:r>
          <w:r>
            <w:rPr>
              <w:i w:val="0"/>
              <w:sz w:val="24"/>
              <w:szCs w:val="24"/>
            </w:rPr>
            <w:tab/>
          </w:r>
          <w:r>
            <w:rPr>
              <w:i w:val="0"/>
              <w:sz w:val="24"/>
              <w:szCs w:val="24"/>
            </w:rPr>
            <w:fldChar w:fldCharType="begin"/>
          </w:r>
          <w:r>
            <w:rPr>
              <w:i w:val="0"/>
              <w:sz w:val="24"/>
              <w:szCs w:val="24"/>
            </w:rPr>
            <w:instrText xml:space="preserve"> PAGEREF _Toc65657727 \h </w:instrText>
          </w:r>
          <w:r>
            <w:rPr>
              <w:i w:val="0"/>
              <w:sz w:val="24"/>
              <w:szCs w:val="24"/>
            </w:rPr>
            <w:fldChar w:fldCharType="separate"/>
          </w:r>
          <w:r>
            <w:rPr>
              <w:i w:val="0"/>
              <w:sz w:val="24"/>
              <w:szCs w:val="24"/>
            </w:rPr>
            <w:t>25</w:t>
          </w:r>
          <w:r>
            <w:rPr>
              <w:i w:val="0"/>
              <w:sz w:val="24"/>
              <w:szCs w:val="24"/>
            </w:rPr>
            <w:fldChar w:fldCharType="end"/>
          </w:r>
          <w:r>
            <w:rPr>
              <w:i w:val="0"/>
              <w:sz w:val="24"/>
              <w:szCs w:val="24"/>
            </w:rPr>
            <w:fldChar w:fldCharType="end"/>
          </w:r>
        </w:p>
        <w:p>
          <w:pPr>
            <w:pStyle w:val="9"/>
            <w:tabs>
              <w:tab w:val="right" w:leader="dot" w:pos="8296"/>
            </w:tabs>
            <w:spacing w:line="360" w:lineRule="auto"/>
            <w:rPr>
              <w:rFonts w:asciiTheme="minorHAnsi" w:hAnsiTheme="minorHAnsi" w:eastAsiaTheme="minorEastAsia" w:cstheme="minorBidi"/>
              <w:smallCaps w:val="0"/>
              <w:sz w:val="24"/>
              <w:szCs w:val="24"/>
            </w:rPr>
          </w:pPr>
          <w:r>
            <w:fldChar w:fldCharType="begin"/>
          </w:r>
          <w:r>
            <w:instrText xml:space="preserve"> HYPERLINK \l "_Toc65657728" </w:instrText>
          </w:r>
          <w:r>
            <w:fldChar w:fldCharType="separate"/>
          </w:r>
          <w:r>
            <w:rPr>
              <w:rStyle w:val="14"/>
              <w:rFonts w:ascii="楷体" w:hAnsi="楷体" w:eastAsia="楷体"/>
              <w:color w:val="auto"/>
              <w:sz w:val="24"/>
              <w:szCs w:val="24"/>
            </w:rPr>
            <w:t>（六）创新人才引育支撑工程</w:t>
          </w:r>
          <w:r>
            <w:rPr>
              <w:sz w:val="24"/>
              <w:szCs w:val="24"/>
            </w:rPr>
            <w:tab/>
          </w:r>
          <w:r>
            <w:rPr>
              <w:sz w:val="24"/>
              <w:szCs w:val="24"/>
            </w:rPr>
            <w:fldChar w:fldCharType="begin"/>
          </w:r>
          <w:r>
            <w:rPr>
              <w:sz w:val="24"/>
              <w:szCs w:val="24"/>
            </w:rPr>
            <w:instrText xml:space="preserve"> PAGEREF _Toc65657728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"_Toc65657729" </w:instrText>
          </w:r>
          <w:r>
            <w:fldChar w:fldCharType="separate"/>
          </w:r>
          <w:r>
            <w:rPr>
              <w:rStyle w:val="14"/>
              <w:rFonts w:ascii="仿宋" w:hAnsi="仿宋" w:eastAsia="仿宋"/>
              <w:i w:val="0"/>
              <w:color w:val="auto"/>
              <w:sz w:val="24"/>
              <w:szCs w:val="24"/>
            </w:rPr>
            <w:t>1、引育基础实用人才</w:t>
          </w:r>
          <w:r>
            <w:rPr>
              <w:i w:val="0"/>
              <w:sz w:val="24"/>
              <w:szCs w:val="24"/>
            </w:rPr>
            <w:tab/>
          </w:r>
          <w:r>
            <w:rPr>
              <w:i w:val="0"/>
              <w:sz w:val="24"/>
              <w:szCs w:val="24"/>
            </w:rPr>
            <w:fldChar w:fldCharType="begin"/>
          </w:r>
          <w:r>
            <w:rPr>
              <w:i w:val="0"/>
              <w:sz w:val="24"/>
              <w:szCs w:val="24"/>
            </w:rPr>
            <w:instrText xml:space="preserve"> PAGEREF _Toc65657729 \h </w:instrText>
          </w:r>
          <w:r>
            <w:rPr>
              <w:i w:val="0"/>
              <w:sz w:val="24"/>
              <w:szCs w:val="24"/>
            </w:rPr>
            <w:fldChar w:fldCharType="separate"/>
          </w:r>
          <w:r>
            <w:rPr>
              <w:i w:val="0"/>
              <w:sz w:val="24"/>
              <w:szCs w:val="24"/>
            </w:rPr>
            <w:t>26</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"_Toc65657730" </w:instrText>
          </w:r>
          <w:r>
            <w:fldChar w:fldCharType="separate"/>
          </w:r>
          <w:r>
            <w:rPr>
              <w:rStyle w:val="14"/>
              <w:rFonts w:ascii="仿宋" w:hAnsi="仿宋" w:eastAsia="仿宋"/>
              <w:i w:val="0"/>
              <w:color w:val="auto"/>
              <w:sz w:val="24"/>
              <w:szCs w:val="24"/>
            </w:rPr>
            <w:t>2、引育优秀青年人才</w:t>
          </w:r>
          <w:r>
            <w:rPr>
              <w:i w:val="0"/>
              <w:sz w:val="24"/>
              <w:szCs w:val="24"/>
            </w:rPr>
            <w:tab/>
          </w:r>
          <w:r>
            <w:rPr>
              <w:i w:val="0"/>
              <w:sz w:val="24"/>
              <w:szCs w:val="24"/>
            </w:rPr>
            <w:fldChar w:fldCharType="begin"/>
          </w:r>
          <w:r>
            <w:rPr>
              <w:i w:val="0"/>
              <w:sz w:val="24"/>
              <w:szCs w:val="24"/>
            </w:rPr>
            <w:instrText xml:space="preserve"> PAGEREF _Toc65657730 \h </w:instrText>
          </w:r>
          <w:r>
            <w:rPr>
              <w:i w:val="0"/>
              <w:sz w:val="24"/>
              <w:szCs w:val="24"/>
            </w:rPr>
            <w:fldChar w:fldCharType="separate"/>
          </w:r>
          <w:r>
            <w:rPr>
              <w:i w:val="0"/>
              <w:sz w:val="24"/>
              <w:szCs w:val="24"/>
            </w:rPr>
            <w:t>26</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"_Toc65657731" </w:instrText>
          </w:r>
          <w:r>
            <w:fldChar w:fldCharType="separate"/>
          </w:r>
          <w:r>
            <w:rPr>
              <w:rStyle w:val="14"/>
              <w:rFonts w:ascii="仿宋" w:hAnsi="仿宋" w:eastAsia="仿宋"/>
              <w:i w:val="0"/>
              <w:color w:val="auto"/>
              <w:sz w:val="24"/>
              <w:szCs w:val="24"/>
            </w:rPr>
            <w:t>3、引育高端创新人才</w:t>
          </w:r>
          <w:r>
            <w:rPr>
              <w:i w:val="0"/>
              <w:sz w:val="24"/>
              <w:szCs w:val="24"/>
            </w:rPr>
            <w:tab/>
          </w:r>
          <w:r>
            <w:rPr>
              <w:i w:val="0"/>
              <w:sz w:val="24"/>
              <w:szCs w:val="24"/>
            </w:rPr>
            <w:fldChar w:fldCharType="begin"/>
          </w:r>
          <w:r>
            <w:rPr>
              <w:i w:val="0"/>
              <w:sz w:val="24"/>
              <w:szCs w:val="24"/>
            </w:rPr>
            <w:instrText xml:space="preserve"> PAGEREF _Toc65657731 \h </w:instrText>
          </w:r>
          <w:r>
            <w:rPr>
              <w:i w:val="0"/>
              <w:sz w:val="24"/>
              <w:szCs w:val="24"/>
            </w:rPr>
            <w:fldChar w:fldCharType="separate"/>
          </w:r>
          <w:r>
            <w:rPr>
              <w:i w:val="0"/>
              <w:sz w:val="24"/>
              <w:szCs w:val="24"/>
            </w:rPr>
            <w:t>27</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"_Toc65657732" </w:instrText>
          </w:r>
          <w:r>
            <w:fldChar w:fldCharType="separate"/>
          </w:r>
          <w:r>
            <w:rPr>
              <w:rStyle w:val="14"/>
              <w:rFonts w:ascii="仿宋" w:hAnsi="仿宋" w:eastAsia="仿宋"/>
              <w:i w:val="0"/>
              <w:color w:val="auto"/>
              <w:sz w:val="24"/>
              <w:szCs w:val="24"/>
            </w:rPr>
            <w:t>4、创新人才工作机制</w:t>
          </w:r>
          <w:r>
            <w:rPr>
              <w:i w:val="0"/>
              <w:sz w:val="24"/>
              <w:szCs w:val="24"/>
            </w:rPr>
            <w:tab/>
          </w:r>
          <w:r>
            <w:rPr>
              <w:i w:val="0"/>
              <w:sz w:val="24"/>
              <w:szCs w:val="24"/>
            </w:rPr>
            <w:fldChar w:fldCharType="begin"/>
          </w:r>
          <w:r>
            <w:rPr>
              <w:i w:val="0"/>
              <w:sz w:val="24"/>
              <w:szCs w:val="24"/>
            </w:rPr>
            <w:instrText xml:space="preserve"> PAGEREF _Toc65657732 \h </w:instrText>
          </w:r>
          <w:r>
            <w:rPr>
              <w:i w:val="0"/>
              <w:sz w:val="24"/>
              <w:szCs w:val="24"/>
            </w:rPr>
            <w:fldChar w:fldCharType="separate"/>
          </w:r>
          <w:r>
            <w:rPr>
              <w:i w:val="0"/>
              <w:sz w:val="24"/>
              <w:szCs w:val="24"/>
            </w:rPr>
            <w:t>28</w:t>
          </w:r>
          <w:r>
            <w:rPr>
              <w:i w:val="0"/>
              <w:sz w:val="24"/>
              <w:szCs w:val="24"/>
            </w:rPr>
            <w:fldChar w:fldCharType="end"/>
          </w:r>
          <w:r>
            <w:rPr>
              <w:i w:val="0"/>
              <w:sz w:val="24"/>
              <w:szCs w:val="24"/>
            </w:rPr>
            <w:fldChar w:fldCharType="end"/>
          </w:r>
        </w:p>
        <w:p>
          <w:pPr>
            <w:pStyle w:val="9"/>
            <w:tabs>
              <w:tab w:val="right" w:leader="dot" w:pos="8296"/>
            </w:tabs>
            <w:spacing w:line="360" w:lineRule="auto"/>
            <w:rPr>
              <w:rFonts w:asciiTheme="minorHAnsi" w:hAnsiTheme="minorHAnsi" w:eastAsiaTheme="minorEastAsia" w:cstheme="minorBidi"/>
              <w:smallCaps w:val="0"/>
              <w:sz w:val="24"/>
              <w:szCs w:val="24"/>
            </w:rPr>
          </w:pPr>
          <w:r>
            <w:fldChar w:fldCharType="begin"/>
          </w:r>
          <w:r>
            <w:instrText xml:space="preserve"> HYPERLINK \l "_Toc65657733" </w:instrText>
          </w:r>
          <w:r>
            <w:fldChar w:fldCharType="separate"/>
          </w:r>
          <w:r>
            <w:rPr>
              <w:rStyle w:val="14"/>
              <w:rFonts w:ascii="楷体" w:hAnsi="楷体" w:eastAsia="楷体"/>
              <w:color w:val="auto"/>
              <w:sz w:val="24"/>
              <w:szCs w:val="24"/>
            </w:rPr>
            <w:t>（七）创新创业生态优化工程</w:t>
          </w:r>
          <w:r>
            <w:rPr>
              <w:sz w:val="24"/>
              <w:szCs w:val="24"/>
            </w:rPr>
            <w:tab/>
          </w:r>
          <w:r>
            <w:rPr>
              <w:sz w:val="24"/>
              <w:szCs w:val="24"/>
            </w:rPr>
            <w:fldChar w:fldCharType="begin"/>
          </w:r>
          <w:r>
            <w:rPr>
              <w:sz w:val="24"/>
              <w:szCs w:val="24"/>
            </w:rPr>
            <w:instrText xml:space="preserve"> PAGEREF _Toc65657733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"_Toc65657734" </w:instrText>
          </w:r>
          <w:r>
            <w:fldChar w:fldCharType="separate"/>
          </w:r>
          <w:r>
            <w:rPr>
              <w:rStyle w:val="14"/>
              <w:rFonts w:ascii="仿宋" w:hAnsi="仿宋" w:eastAsia="仿宋"/>
              <w:i w:val="0"/>
              <w:color w:val="auto"/>
              <w:sz w:val="24"/>
              <w:szCs w:val="24"/>
            </w:rPr>
            <w:t>1、深化科技体制机制改革</w:t>
          </w:r>
          <w:r>
            <w:rPr>
              <w:i w:val="0"/>
              <w:sz w:val="24"/>
              <w:szCs w:val="24"/>
            </w:rPr>
            <w:tab/>
          </w:r>
          <w:r>
            <w:rPr>
              <w:i w:val="0"/>
              <w:sz w:val="24"/>
              <w:szCs w:val="24"/>
            </w:rPr>
            <w:fldChar w:fldCharType="begin"/>
          </w:r>
          <w:r>
            <w:rPr>
              <w:i w:val="0"/>
              <w:sz w:val="24"/>
              <w:szCs w:val="24"/>
            </w:rPr>
            <w:instrText xml:space="preserve"> PAGEREF _Toc65657734 \h </w:instrText>
          </w:r>
          <w:r>
            <w:rPr>
              <w:i w:val="0"/>
              <w:sz w:val="24"/>
              <w:szCs w:val="24"/>
            </w:rPr>
            <w:fldChar w:fldCharType="separate"/>
          </w:r>
          <w:r>
            <w:rPr>
              <w:i w:val="0"/>
              <w:sz w:val="24"/>
              <w:szCs w:val="24"/>
            </w:rPr>
            <w:t>28</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"_Toc65657735" </w:instrText>
          </w:r>
          <w:r>
            <w:fldChar w:fldCharType="separate"/>
          </w:r>
          <w:r>
            <w:rPr>
              <w:rStyle w:val="14"/>
              <w:rFonts w:ascii="仿宋" w:hAnsi="仿宋" w:eastAsia="仿宋"/>
              <w:i w:val="0"/>
              <w:color w:val="auto"/>
              <w:sz w:val="24"/>
              <w:szCs w:val="24"/>
            </w:rPr>
            <w:t>2、完善科技创新治理体系</w:t>
          </w:r>
          <w:r>
            <w:rPr>
              <w:i w:val="0"/>
              <w:sz w:val="24"/>
              <w:szCs w:val="24"/>
            </w:rPr>
            <w:tab/>
          </w:r>
          <w:r>
            <w:rPr>
              <w:i w:val="0"/>
              <w:sz w:val="24"/>
              <w:szCs w:val="24"/>
            </w:rPr>
            <w:fldChar w:fldCharType="begin"/>
          </w:r>
          <w:r>
            <w:rPr>
              <w:i w:val="0"/>
              <w:sz w:val="24"/>
              <w:szCs w:val="24"/>
            </w:rPr>
            <w:instrText xml:space="preserve"> PAGEREF _Toc65657735 \h </w:instrText>
          </w:r>
          <w:r>
            <w:rPr>
              <w:i w:val="0"/>
              <w:sz w:val="24"/>
              <w:szCs w:val="24"/>
            </w:rPr>
            <w:fldChar w:fldCharType="separate"/>
          </w:r>
          <w:r>
            <w:rPr>
              <w:i w:val="0"/>
              <w:sz w:val="24"/>
              <w:szCs w:val="24"/>
            </w:rPr>
            <w:t>29</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"_Toc65657736" </w:instrText>
          </w:r>
          <w:r>
            <w:fldChar w:fldCharType="separate"/>
          </w:r>
          <w:r>
            <w:rPr>
              <w:rStyle w:val="14"/>
              <w:rFonts w:ascii="仿宋" w:hAnsi="仿宋" w:eastAsia="仿宋"/>
              <w:i w:val="0"/>
              <w:color w:val="auto"/>
              <w:sz w:val="24"/>
              <w:szCs w:val="24"/>
            </w:rPr>
            <w:t>3、加大科技金融支持力度</w:t>
          </w:r>
          <w:r>
            <w:rPr>
              <w:i w:val="0"/>
              <w:sz w:val="24"/>
              <w:szCs w:val="24"/>
            </w:rPr>
            <w:tab/>
          </w:r>
          <w:r>
            <w:rPr>
              <w:i w:val="0"/>
              <w:sz w:val="24"/>
              <w:szCs w:val="24"/>
            </w:rPr>
            <w:fldChar w:fldCharType="begin"/>
          </w:r>
          <w:r>
            <w:rPr>
              <w:i w:val="0"/>
              <w:sz w:val="24"/>
              <w:szCs w:val="24"/>
            </w:rPr>
            <w:instrText xml:space="preserve"> PAGEREF _Toc65657736 \h </w:instrText>
          </w:r>
          <w:r>
            <w:rPr>
              <w:i w:val="0"/>
              <w:sz w:val="24"/>
              <w:szCs w:val="24"/>
            </w:rPr>
            <w:fldChar w:fldCharType="separate"/>
          </w:r>
          <w:r>
            <w:rPr>
              <w:i w:val="0"/>
              <w:sz w:val="24"/>
              <w:szCs w:val="24"/>
            </w:rPr>
            <w:t>29</w:t>
          </w:r>
          <w:r>
            <w:rPr>
              <w:i w:val="0"/>
              <w:sz w:val="24"/>
              <w:szCs w:val="24"/>
            </w:rPr>
            <w:fldChar w:fldCharType="end"/>
          </w:r>
          <w:r>
            <w:rPr>
              <w:i w:val="0"/>
              <w:sz w:val="24"/>
              <w:szCs w:val="24"/>
            </w:rPr>
            <w:fldChar w:fldCharType="end"/>
          </w:r>
        </w:p>
        <w:p>
          <w:pPr>
            <w:pStyle w:val="6"/>
            <w:tabs>
              <w:tab w:val="right" w:leader="dot" w:pos="8296"/>
            </w:tabs>
            <w:spacing w:line="360" w:lineRule="auto"/>
            <w:rPr>
              <w:rFonts w:asciiTheme="minorHAnsi" w:hAnsiTheme="minorHAnsi" w:eastAsiaTheme="minorEastAsia" w:cstheme="minorBidi"/>
              <w:i w:val="0"/>
              <w:iCs w:val="0"/>
              <w:sz w:val="24"/>
              <w:szCs w:val="24"/>
            </w:rPr>
          </w:pPr>
          <w:r>
            <w:fldChar w:fldCharType="begin"/>
          </w:r>
          <w:r>
            <w:instrText xml:space="preserve"> HYPERLINK \l "_Toc65657737" </w:instrText>
          </w:r>
          <w:r>
            <w:fldChar w:fldCharType="separate"/>
          </w:r>
          <w:r>
            <w:rPr>
              <w:rStyle w:val="14"/>
              <w:rFonts w:ascii="仿宋" w:hAnsi="仿宋" w:eastAsia="仿宋"/>
              <w:i w:val="0"/>
              <w:color w:val="auto"/>
              <w:sz w:val="24"/>
              <w:szCs w:val="24"/>
            </w:rPr>
            <w:t>4、全面加强知识产权保护</w:t>
          </w:r>
          <w:r>
            <w:rPr>
              <w:i w:val="0"/>
              <w:sz w:val="24"/>
              <w:szCs w:val="24"/>
            </w:rPr>
            <w:tab/>
          </w:r>
          <w:r>
            <w:rPr>
              <w:i w:val="0"/>
              <w:sz w:val="24"/>
              <w:szCs w:val="24"/>
            </w:rPr>
            <w:fldChar w:fldCharType="begin"/>
          </w:r>
          <w:r>
            <w:rPr>
              <w:i w:val="0"/>
              <w:sz w:val="24"/>
              <w:szCs w:val="24"/>
            </w:rPr>
            <w:instrText xml:space="preserve"> PAGEREF _Toc65657737 \h </w:instrText>
          </w:r>
          <w:r>
            <w:rPr>
              <w:i w:val="0"/>
              <w:sz w:val="24"/>
              <w:szCs w:val="24"/>
            </w:rPr>
            <w:fldChar w:fldCharType="separate"/>
          </w:r>
          <w:r>
            <w:rPr>
              <w:i w:val="0"/>
              <w:sz w:val="24"/>
              <w:szCs w:val="24"/>
            </w:rPr>
            <w:t>30</w:t>
          </w:r>
          <w:r>
            <w:rPr>
              <w:i w:val="0"/>
              <w:sz w:val="24"/>
              <w:szCs w:val="24"/>
            </w:rPr>
            <w:fldChar w:fldCharType="end"/>
          </w:r>
          <w:r>
            <w:rPr>
              <w:i w:val="0"/>
              <w:sz w:val="24"/>
              <w:szCs w:val="24"/>
            </w:rPr>
            <w:fldChar w:fldCharType="end"/>
          </w:r>
        </w:p>
        <w:p>
          <w:pPr>
            <w:pStyle w:val="8"/>
            <w:tabs>
              <w:tab w:val="right" w:leader="dot" w:pos="8296"/>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"_Toc65657738" </w:instrText>
          </w:r>
          <w:r>
            <w:fldChar w:fldCharType="separate"/>
          </w:r>
          <w:r>
            <w:rPr>
              <w:rStyle w:val="14"/>
              <w:rFonts w:hAnsi="Times New Roman" w:eastAsia="黑体" w:asciiTheme="majorHAnsi"/>
              <w:color w:val="auto"/>
              <w:sz w:val="24"/>
              <w:szCs w:val="24"/>
            </w:rPr>
            <w:t>四、保障举措</w:t>
          </w:r>
          <w:r>
            <w:rPr>
              <w:sz w:val="24"/>
              <w:szCs w:val="24"/>
            </w:rPr>
            <w:tab/>
          </w:r>
          <w:r>
            <w:rPr>
              <w:sz w:val="24"/>
              <w:szCs w:val="24"/>
            </w:rPr>
            <w:fldChar w:fldCharType="begin"/>
          </w:r>
          <w:r>
            <w:rPr>
              <w:sz w:val="24"/>
              <w:szCs w:val="24"/>
            </w:rPr>
            <w:instrText xml:space="preserve"> PAGEREF _Toc65657738 \h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9"/>
            <w:tabs>
              <w:tab w:val="right" w:leader="dot" w:pos="8296"/>
            </w:tabs>
            <w:spacing w:line="360" w:lineRule="auto"/>
            <w:rPr>
              <w:rFonts w:asciiTheme="minorHAnsi" w:hAnsiTheme="minorHAnsi" w:eastAsiaTheme="minorEastAsia" w:cstheme="minorBidi"/>
              <w:smallCaps w:val="0"/>
              <w:sz w:val="24"/>
              <w:szCs w:val="24"/>
            </w:rPr>
          </w:pPr>
          <w:r>
            <w:fldChar w:fldCharType="begin"/>
          </w:r>
          <w:r>
            <w:instrText xml:space="preserve"> HYPERLINK \l "_Toc65657739" </w:instrText>
          </w:r>
          <w:r>
            <w:fldChar w:fldCharType="separate"/>
          </w:r>
          <w:r>
            <w:rPr>
              <w:rStyle w:val="14"/>
              <w:rFonts w:ascii="楷体" w:hAnsi="楷体" w:eastAsia="楷体"/>
              <w:color w:val="auto"/>
              <w:sz w:val="24"/>
              <w:szCs w:val="24"/>
            </w:rPr>
            <w:t>（一）加强组织领导</w:t>
          </w:r>
          <w:r>
            <w:rPr>
              <w:sz w:val="24"/>
              <w:szCs w:val="24"/>
            </w:rPr>
            <w:tab/>
          </w:r>
          <w:r>
            <w:rPr>
              <w:sz w:val="24"/>
              <w:szCs w:val="24"/>
            </w:rPr>
            <w:fldChar w:fldCharType="begin"/>
          </w:r>
          <w:r>
            <w:rPr>
              <w:sz w:val="24"/>
              <w:szCs w:val="24"/>
            </w:rPr>
            <w:instrText xml:space="preserve"> PAGEREF _Toc65657739 \h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9"/>
            <w:tabs>
              <w:tab w:val="right" w:leader="dot" w:pos="8296"/>
            </w:tabs>
            <w:spacing w:line="360" w:lineRule="auto"/>
            <w:rPr>
              <w:rFonts w:asciiTheme="minorHAnsi" w:hAnsiTheme="minorHAnsi" w:eastAsiaTheme="minorEastAsia" w:cstheme="minorBidi"/>
              <w:smallCaps w:val="0"/>
              <w:sz w:val="24"/>
              <w:szCs w:val="24"/>
            </w:rPr>
          </w:pPr>
          <w:r>
            <w:fldChar w:fldCharType="begin"/>
          </w:r>
          <w:r>
            <w:instrText xml:space="preserve"> HYPERLINK \l "_Toc65657740" </w:instrText>
          </w:r>
          <w:r>
            <w:fldChar w:fldCharType="separate"/>
          </w:r>
          <w:r>
            <w:rPr>
              <w:rStyle w:val="14"/>
              <w:rFonts w:ascii="楷体" w:hAnsi="楷体" w:eastAsia="楷体"/>
              <w:color w:val="auto"/>
              <w:sz w:val="24"/>
              <w:szCs w:val="24"/>
            </w:rPr>
            <w:t>（二）强化创新投入</w:t>
          </w:r>
          <w:r>
            <w:rPr>
              <w:sz w:val="24"/>
              <w:szCs w:val="24"/>
            </w:rPr>
            <w:tab/>
          </w:r>
          <w:r>
            <w:rPr>
              <w:sz w:val="24"/>
              <w:szCs w:val="24"/>
            </w:rPr>
            <w:fldChar w:fldCharType="begin"/>
          </w:r>
          <w:r>
            <w:rPr>
              <w:sz w:val="24"/>
              <w:szCs w:val="24"/>
            </w:rPr>
            <w:instrText xml:space="preserve"> PAGEREF _Toc65657740 \h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9"/>
            <w:tabs>
              <w:tab w:val="right" w:leader="dot" w:pos="8296"/>
            </w:tabs>
            <w:spacing w:line="360" w:lineRule="auto"/>
            <w:rPr>
              <w:rFonts w:asciiTheme="minorHAnsi" w:hAnsiTheme="minorHAnsi" w:eastAsiaTheme="minorEastAsia" w:cstheme="minorBidi"/>
              <w:smallCaps w:val="0"/>
              <w:sz w:val="24"/>
              <w:szCs w:val="24"/>
            </w:rPr>
          </w:pPr>
          <w:r>
            <w:fldChar w:fldCharType="begin"/>
          </w:r>
          <w:r>
            <w:instrText xml:space="preserve"> HYPERLINK \l "_Toc65657741" </w:instrText>
          </w:r>
          <w:r>
            <w:fldChar w:fldCharType="separate"/>
          </w:r>
          <w:r>
            <w:rPr>
              <w:rStyle w:val="14"/>
              <w:rFonts w:ascii="楷体" w:hAnsi="楷体" w:eastAsia="楷体"/>
              <w:color w:val="auto"/>
              <w:sz w:val="24"/>
              <w:szCs w:val="24"/>
            </w:rPr>
            <w:t>（三）落实政策举措</w:t>
          </w:r>
          <w:r>
            <w:rPr>
              <w:sz w:val="24"/>
              <w:szCs w:val="24"/>
            </w:rPr>
            <w:tab/>
          </w:r>
          <w:r>
            <w:rPr>
              <w:sz w:val="24"/>
              <w:szCs w:val="24"/>
            </w:rPr>
            <w:fldChar w:fldCharType="begin"/>
          </w:r>
          <w:r>
            <w:rPr>
              <w:sz w:val="24"/>
              <w:szCs w:val="24"/>
            </w:rPr>
            <w:instrText xml:space="preserve"> PAGEREF _Toc65657741 \h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9"/>
            <w:tabs>
              <w:tab w:val="right" w:leader="dot" w:pos="8296"/>
            </w:tabs>
            <w:spacing w:line="360" w:lineRule="auto"/>
            <w:rPr>
              <w:rFonts w:asciiTheme="minorHAnsi" w:hAnsiTheme="minorHAnsi" w:eastAsiaTheme="minorEastAsia" w:cstheme="minorBidi"/>
              <w:smallCaps w:val="0"/>
              <w:sz w:val="21"/>
              <w:szCs w:val="22"/>
            </w:rPr>
          </w:pPr>
          <w:r>
            <w:fldChar w:fldCharType="begin"/>
          </w:r>
          <w:r>
            <w:instrText xml:space="preserve"> HYPERLINK \l "_Toc65657742" </w:instrText>
          </w:r>
          <w:r>
            <w:fldChar w:fldCharType="separate"/>
          </w:r>
          <w:r>
            <w:rPr>
              <w:rStyle w:val="14"/>
              <w:rFonts w:ascii="楷体" w:hAnsi="楷体" w:eastAsia="楷体"/>
              <w:color w:val="auto"/>
              <w:sz w:val="24"/>
              <w:szCs w:val="24"/>
            </w:rPr>
            <w:t>（四）营造良好氛围</w:t>
          </w:r>
          <w:r>
            <w:rPr>
              <w:sz w:val="24"/>
              <w:szCs w:val="24"/>
            </w:rPr>
            <w:tab/>
          </w:r>
          <w:r>
            <w:rPr>
              <w:sz w:val="24"/>
              <w:szCs w:val="24"/>
            </w:rPr>
            <w:fldChar w:fldCharType="begin"/>
          </w:r>
          <w:r>
            <w:rPr>
              <w:sz w:val="24"/>
              <w:szCs w:val="24"/>
            </w:rPr>
            <w:instrText xml:space="preserve"> PAGEREF _Toc65657742 \h </w:instrText>
          </w:r>
          <w:r>
            <w:rPr>
              <w:sz w:val="24"/>
              <w:szCs w:val="24"/>
            </w:rPr>
            <w:fldChar w:fldCharType="separate"/>
          </w:r>
          <w:r>
            <w:rPr>
              <w:sz w:val="24"/>
              <w:szCs w:val="24"/>
            </w:rPr>
            <w:t>32</w:t>
          </w:r>
          <w:r>
            <w:rPr>
              <w:sz w:val="24"/>
              <w:szCs w:val="24"/>
            </w:rPr>
            <w:fldChar w:fldCharType="end"/>
          </w:r>
          <w:r>
            <w:rPr>
              <w:sz w:val="24"/>
              <w:szCs w:val="24"/>
            </w:rPr>
            <w:fldChar w:fldCharType="end"/>
          </w:r>
        </w:p>
        <w:p>
          <w:pPr>
            <w:pStyle w:val="9"/>
            <w:tabs>
              <w:tab w:val="right" w:leader="dot" w:pos="8296"/>
            </w:tabs>
            <w:spacing w:line="360" w:lineRule="auto"/>
            <w:rPr>
              <w:rFonts w:asciiTheme="minorHAnsi" w:hAnsiTheme="minorHAnsi" w:eastAsiaTheme="minorEastAsia" w:cstheme="minorBidi"/>
              <w:smallCaps w:val="0"/>
              <w:sz w:val="40"/>
              <w:szCs w:val="22"/>
            </w:rPr>
            <w:sectPr>
              <w:footerReference r:id="rId3" w:type="default"/>
              <w:pgSz w:w="11906" w:h="16838"/>
              <w:pgMar w:top="1440" w:right="1800" w:bottom="1440" w:left="1800" w:header="851" w:footer="992" w:gutter="0"/>
              <w:pgNumType w:fmt="upperRoman" w:start="1"/>
              <w:cols w:space="720" w:num="1"/>
              <w:docGrid w:type="lines" w:linePitch="312" w:charSpace="0"/>
            </w:sectPr>
          </w:pPr>
          <w:r>
            <w:rPr>
              <w:b/>
              <w:bCs/>
              <w:sz w:val="200"/>
              <w:lang w:val="zh-CN"/>
            </w:rPr>
            <w:fldChar w:fldCharType="end"/>
          </w:r>
        </w:p>
      </w:sdtContent>
    </w:sdt>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为深入贯彻落实创新驱动发展战略，开启奉化特色创新改革之路，加快打造人才聚集洼地、创新创业高地、科创生态福地，建设现代化健康美丽新城区，根据国家、省市科技创新“十四五”发展规划和《宁波市</w:t>
      </w:r>
      <w:r>
        <w:rPr>
          <w:rFonts w:ascii="仿宋" w:hAnsi="仿宋" w:eastAsia="仿宋"/>
          <w:sz w:val="32"/>
          <w:szCs w:val="32"/>
        </w:rPr>
        <w:t>奉化</w:t>
      </w:r>
      <w:r>
        <w:rPr>
          <w:rFonts w:hint="eastAsia" w:ascii="仿宋" w:hAnsi="仿宋" w:eastAsia="仿宋"/>
          <w:sz w:val="32"/>
          <w:szCs w:val="32"/>
        </w:rPr>
        <w:t>区</w:t>
      </w:r>
      <w:r>
        <w:rPr>
          <w:rFonts w:ascii="仿宋" w:hAnsi="仿宋" w:eastAsia="仿宋"/>
          <w:sz w:val="32"/>
          <w:szCs w:val="32"/>
        </w:rPr>
        <w:t>国民经济和社会发展第十</w:t>
      </w:r>
      <w:r>
        <w:rPr>
          <w:rFonts w:hint="eastAsia" w:ascii="仿宋" w:hAnsi="仿宋" w:eastAsia="仿宋"/>
          <w:sz w:val="32"/>
          <w:szCs w:val="32"/>
        </w:rPr>
        <w:t>四</w:t>
      </w:r>
      <w:r>
        <w:rPr>
          <w:rFonts w:ascii="仿宋" w:hAnsi="仿宋" w:eastAsia="仿宋"/>
          <w:sz w:val="32"/>
          <w:szCs w:val="32"/>
        </w:rPr>
        <w:t>个五年规划</w:t>
      </w:r>
      <w:r>
        <w:rPr>
          <w:rFonts w:hint="eastAsia" w:ascii="仿宋" w:hAnsi="仿宋" w:eastAsia="仿宋"/>
          <w:sz w:val="32"/>
          <w:szCs w:val="32"/>
        </w:rPr>
        <w:t>和二〇三五年远景目标</w:t>
      </w:r>
      <w:r>
        <w:rPr>
          <w:rFonts w:ascii="仿宋" w:hAnsi="仿宋" w:eastAsia="仿宋"/>
          <w:sz w:val="32"/>
          <w:szCs w:val="32"/>
        </w:rPr>
        <w:t>纲要</w:t>
      </w:r>
      <w:r>
        <w:rPr>
          <w:rFonts w:hint="eastAsia" w:ascii="仿宋" w:hAnsi="仿宋" w:eastAsia="仿宋"/>
          <w:sz w:val="32"/>
          <w:szCs w:val="32"/>
        </w:rPr>
        <w:t>》等的部署要求，编制本规划，规划期限为2021～2025年。</w:t>
      </w:r>
    </w:p>
    <w:p>
      <w:pPr>
        <w:pStyle w:val="2"/>
        <w:tabs>
          <w:tab w:val="center" w:pos="4156"/>
          <w:tab w:val="left" w:pos="7536"/>
        </w:tabs>
        <w:adjustRightInd w:val="0"/>
        <w:snapToGrid w:val="0"/>
        <w:spacing w:before="468" w:beforeLines="150" w:after="156" w:afterLines="50" w:line="360" w:lineRule="auto"/>
        <w:jc w:val="left"/>
        <w:rPr>
          <w:rFonts w:hAnsi="Times New Roman" w:eastAsia="黑体" w:asciiTheme="majorHAnsi"/>
          <w:sz w:val="36"/>
          <w:szCs w:val="36"/>
        </w:rPr>
      </w:pPr>
      <w:bookmarkStart w:id="0" w:name="_Toc438413305"/>
      <w:bookmarkStart w:id="1" w:name="_Toc459378263"/>
      <w:bookmarkStart w:id="2" w:name="_Toc438413972"/>
      <w:bookmarkStart w:id="3" w:name="_Toc459376743"/>
      <w:bookmarkStart w:id="4" w:name="_Toc459378147"/>
      <w:bookmarkStart w:id="5" w:name="_Toc54252337"/>
      <w:bookmarkStart w:id="6" w:name="_Toc65657695"/>
      <w:r>
        <w:rPr>
          <w:rFonts w:hAnsi="Times New Roman" w:eastAsia="黑体" w:asciiTheme="majorHAnsi"/>
          <w:sz w:val="36"/>
          <w:szCs w:val="36"/>
        </w:rPr>
        <w:t>一</w:t>
      </w:r>
      <w:bookmarkEnd w:id="0"/>
      <w:bookmarkEnd w:id="1"/>
      <w:bookmarkEnd w:id="2"/>
      <w:bookmarkEnd w:id="3"/>
      <w:bookmarkEnd w:id="4"/>
      <w:bookmarkStart w:id="7" w:name="_Toc438413973"/>
      <w:bookmarkStart w:id="8" w:name="_Toc438413306"/>
      <w:r>
        <w:rPr>
          <w:rFonts w:hint="eastAsia" w:hAnsi="Times New Roman" w:eastAsia="黑体" w:asciiTheme="majorHAnsi"/>
          <w:sz w:val="36"/>
          <w:szCs w:val="36"/>
        </w:rPr>
        <w:t>、发展基础与面临形势</w:t>
      </w:r>
      <w:bookmarkEnd w:id="5"/>
      <w:bookmarkEnd w:id="6"/>
    </w:p>
    <w:p>
      <w:pPr>
        <w:pStyle w:val="3"/>
        <w:rPr>
          <w:rFonts w:ascii="楷体" w:hAnsi="楷体" w:eastAsia="楷体"/>
          <w:bCs w:val="0"/>
        </w:rPr>
      </w:pPr>
      <w:bookmarkStart w:id="9" w:name="_Toc459378148"/>
      <w:bookmarkStart w:id="10" w:name="_Toc459378264"/>
      <w:bookmarkStart w:id="11" w:name="_Toc459376744"/>
      <w:bookmarkStart w:id="12" w:name="_Toc65657696"/>
      <w:bookmarkStart w:id="13" w:name="_Toc54252338"/>
      <w:r>
        <w:rPr>
          <w:rFonts w:hint="eastAsia" w:ascii="楷体" w:hAnsi="楷体" w:eastAsia="楷体"/>
          <w:bCs w:val="0"/>
        </w:rPr>
        <w:t>（</w:t>
      </w:r>
      <w:r>
        <w:rPr>
          <w:rFonts w:ascii="楷体" w:hAnsi="楷体" w:eastAsia="楷体"/>
          <w:bCs w:val="0"/>
        </w:rPr>
        <w:t>一</w:t>
      </w:r>
      <w:bookmarkEnd w:id="7"/>
      <w:bookmarkEnd w:id="8"/>
      <w:bookmarkEnd w:id="9"/>
      <w:bookmarkEnd w:id="10"/>
      <w:bookmarkEnd w:id="11"/>
      <w:r>
        <w:rPr>
          <w:rFonts w:hint="eastAsia" w:ascii="楷体" w:hAnsi="楷体" w:eastAsia="楷体"/>
          <w:bCs w:val="0"/>
        </w:rPr>
        <w:t>）现实基础</w:t>
      </w:r>
      <w:bookmarkEnd w:id="12"/>
      <w:bookmarkEnd w:id="13"/>
    </w:p>
    <w:p>
      <w:pPr>
        <w:adjustRightInd w:val="0"/>
        <w:snapToGrid w:val="0"/>
        <w:spacing w:line="360" w:lineRule="auto"/>
        <w:ind w:firstLine="641"/>
        <w:rPr>
          <w:rFonts w:hAnsi="Times New Roman" w:eastAsia="仿宋" w:asciiTheme="majorHAnsi"/>
          <w:sz w:val="32"/>
          <w:szCs w:val="32"/>
        </w:rPr>
      </w:pPr>
      <w:bookmarkStart w:id="14" w:name="_Toc438413311"/>
      <w:bookmarkStart w:id="15" w:name="_Toc459376749"/>
      <w:bookmarkStart w:id="16" w:name="_Toc438413978"/>
      <w:bookmarkStart w:id="17" w:name="_Toc459378269"/>
      <w:bookmarkStart w:id="18" w:name="_Toc459378153"/>
      <w:bookmarkStart w:id="19" w:name="_Toc54252339"/>
      <w:r>
        <w:rPr>
          <w:rFonts w:hint="eastAsia" w:hAnsi="Times New Roman" w:eastAsia="仿宋" w:asciiTheme="majorHAnsi"/>
          <w:sz w:val="32"/>
          <w:szCs w:val="32"/>
        </w:rPr>
        <w:t>“十三五”期间，奉化区牢牢抓住“撤市设区”历史机遇期，通过深入实施创新驱动发展战略，扎实开展“科技争投”专项行动，全区在创新主体培育、创新平台建设、科技成果转化、政产学研融合、创新人才引育、创新环境建设等方面成效明显，全区综合创新能力得到快速提升，科技在经济社会发展中的支撑引领作用日益凸显。</w:t>
      </w:r>
    </w:p>
    <w:p>
      <w:pPr>
        <w:adjustRightInd w:val="0"/>
        <w:snapToGrid w:val="0"/>
        <w:spacing w:line="360" w:lineRule="auto"/>
        <w:ind w:firstLine="641"/>
        <w:rPr>
          <w:rFonts w:hAnsi="Times New Roman" w:eastAsia="仿宋" w:asciiTheme="majorHAnsi"/>
          <w:sz w:val="32"/>
          <w:szCs w:val="32"/>
        </w:rPr>
      </w:pPr>
      <w:r>
        <w:rPr>
          <w:rFonts w:hint="eastAsia" w:ascii="楷体" w:hAnsi="楷体" w:eastAsia="楷体"/>
          <w:b/>
          <w:sz w:val="32"/>
          <w:szCs w:val="32"/>
        </w:rPr>
        <w:t>1、创新主体规模日益壮大。</w:t>
      </w:r>
      <w:r>
        <w:rPr>
          <w:rFonts w:hint="eastAsia" w:hAnsi="Times New Roman" w:eastAsia="仿宋" w:asciiTheme="majorHAnsi"/>
          <w:sz w:val="32"/>
          <w:szCs w:val="32"/>
        </w:rPr>
        <w:t>“十三五”期间，着力强化科技型企业的培育扶持，实施“春苗计划”、高新技术企业攻坚专项行动，创新主体规模进一步壮大。与“十二五”末相比，全区创新型初创企业数同比增长219%，累计达1175家，高新技术企业数同比增长141%，累计达180家，新增浙江省高成长企业92家，区“小而美“苗子企业30家。宁波亚德客自动化工业有限公司、宁波鲍斯能源装备股份有限公司、宁波麦博韦尔移动电话有限公司列入省创新型领军企业培育目录库，宁波欧佩亚海洋工程装备有限公司和宁波飞芯电子科技有限公司先后列入省领军型创业团队。</w:t>
      </w:r>
    </w:p>
    <w:p>
      <w:pPr>
        <w:adjustRightInd w:val="0"/>
        <w:snapToGrid w:val="0"/>
        <w:spacing w:line="360" w:lineRule="auto"/>
        <w:ind w:firstLine="641"/>
        <w:rPr>
          <w:rFonts w:hAnsi="Times New Roman" w:eastAsia="仿宋" w:asciiTheme="majorHAnsi"/>
          <w:sz w:val="32"/>
          <w:szCs w:val="32"/>
        </w:rPr>
      </w:pPr>
      <w:r>
        <w:rPr>
          <w:rFonts w:hint="eastAsia" w:ascii="楷体" w:hAnsi="楷体" w:eastAsia="楷体"/>
          <w:b/>
          <w:sz w:val="32"/>
          <w:szCs w:val="32"/>
        </w:rPr>
        <w:t>2、创新载体数量大幅增加。</w:t>
      </w:r>
      <w:r>
        <w:rPr>
          <w:rFonts w:hint="eastAsia" w:hAnsi="Times New Roman" w:eastAsia="仿宋" w:asciiTheme="majorHAnsi"/>
          <w:sz w:val="32"/>
          <w:szCs w:val="32"/>
        </w:rPr>
        <w:t>围绕“3号青创大走廊”建设总体布局，积极推进重大科技创新平台建设，初步形成集“预孵化、孵化、加速、专业园”于一体的科技创新创业体系。先后引进共建启迪智能装备（气动）科技园、复旦科技园（浙江）创新中心、浙江大学（宁波）气动产业技术研究中心、哈工大宁波技术转移中心、摩米创新工场、宁波工程学院奉化研究院、浙江工业大学奉化智慧经济研究院、“58众创”等创新创业平台；茗山智谷创新综合体建设有序推进，瑞凌节能环保创新与产业研究院、锋成先进能源材料研究院、麦博韦尔通讯技术研究院、瑞嘉通讯技术研究院、瑞晟智能物流研究院、海上鲜智慧海洋产业园等产业技术研究院脱颖而出；北京、上海、杭州、深圳和东北飞地孵化器揭牌运营，经佳双创基地、移盟科创基地、波导卫星通信科创园、怡诺（宁波）科创园、宁波奉化中交科技产业园等创新平台建设稳步推进；气动产业创新服务综合体入围省级创建名单；新创建各级众创空间10家，其中国家级1家，省级2家、宁波市级5家，奉化区级10家，“尚田+青农创客星创天地”被认定为国家级星创天地。</w:t>
      </w:r>
    </w:p>
    <w:p>
      <w:pPr>
        <w:adjustRightInd w:val="0"/>
        <w:snapToGrid w:val="0"/>
        <w:spacing w:line="360" w:lineRule="auto"/>
        <w:ind w:firstLine="641"/>
        <w:rPr>
          <w:rFonts w:hAnsi="Times New Roman" w:eastAsia="仿宋" w:asciiTheme="majorHAnsi"/>
          <w:sz w:val="32"/>
          <w:szCs w:val="32"/>
        </w:rPr>
      </w:pPr>
      <w:r>
        <w:rPr>
          <w:rFonts w:hint="eastAsia" w:ascii="楷体" w:hAnsi="楷体" w:eastAsia="楷体"/>
          <w:b/>
          <w:sz w:val="32"/>
          <w:szCs w:val="32"/>
        </w:rPr>
        <w:t>3、企业技术创新能力明显提升。</w:t>
      </w:r>
      <w:r>
        <w:rPr>
          <w:rFonts w:hint="eastAsia" w:hAnsi="Times New Roman" w:eastAsia="仿宋" w:asciiTheme="majorHAnsi"/>
          <w:sz w:val="32"/>
          <w:szCs w:val="32"/>
        </w:rPr>
        <w:t>“十三五”以来，全区列入宁波市级工业重大科技专项13项，组织实施区级工业重大科技专项52项，一般科研攻关项目86项。国家气动产品质量监督检验中心“气动元件关键共性检测技术及标准体系”项目荣获国家科技进步二等奖，星宇电子（宁波）有限公司申报实施的“精密微型比例阀关键技术开发与产业化应用示范”项目，获科技部“科技助力经济2020”重点专项立项支持，实现我区国家科技进步奖和企业承担国家重点科技项目零的突破；宁波市奉化区奥纪农业科技有限公司的“浙江省鸭遗传资源挖掘与利用”项目获省科技进步奖二等奖，宁波昊鑫裕隆新材料有限公司的“氯化聚合物绿色工艺抽血及系列涂料产品开发”项目和宁波市奉化区水蜜桃研究所的“桃新品种德育与新型栽培模式创建”项目分别获省科技进步奖三等奖；同时获宁波科技进步奖三等奖2项。企业研发机构建设显著增强，新增省级企业研究院2家，累计达4家；省级高新技术企业研究开发中心25家，累计达43家；宁波市企业研究院6家，累计达8家；宁波市级工程（技术）中心64家，累计达129家；区级工程（技术）中心97家，累计达267家。2020年，网上技术市场年交易额预计可突破8亿元，与“十二五”未相比，同比增长1468%。</w:t>
      </w:r>
    </w:p>
    <w:p>
      <w:pPr>
        <w:adjustRightInd w:val="0"/>
        <w:snapToGrid w:val="0"/>
        <w:spacing w:line="360" w:lineRule="auto"/>
        <w:ind w:firstLine="641"/>
        <w:rPr>
          <w:rFonts w:hAnsi="Times New Roman" w:eastAsia="仿宋" w:asciiTheme="majorHAnsi"/>
          <w:sz w:val="32"/>
          <w:szCs w:val="32"/>
        </w:rPr>
      </w:pPr>
      <w:r>
        <w:rPr>
          <w:rFonts w:hint="eastAsia" w:ascii="楷体" w:hAnsi="楷体" w:eastAsia="楷体"/>
          <w:b/>
          <w:sz w:val="32"/>
          <w:szCs w:val="32"/>
        </w:rPr>
        <w:t>4、创新人才队伍建设不断增强。</w:t>
      </w:r>
      <w:r>
        <w:rPr>
          <w:rFonts w:hint="eastAsia" w:hAnsi="Times New Roman" w:eastAsia="仿宋" w:asciiTheme="majorHAnsi"/>
          <w:sz w:val="32"/>
          <w:szCs w:val="32"/>
        </w:rPr>
        <w:t>高端人才引进成效显著。“十三五”以来，深入实施“双招双引”“凤麓英才”计划等人才工程，引进国内外院士等顶尖人才27人，自主培育国家级引才计划专家5名，省级引才计划专家3名，入选宁波“3315系列计划”22个，“凤麓英才”计划101个。专业化人才培育稳步推进。建立宁波市高技能人才公共实训基地，新建14家企业技能人才自主评价示范基地。全区新增技能人才56000余人、高级技能人才21000余人、专业技术人才23800余人。人才发展生态不断优化。出台“奉化人才新政22条”以及《奉化区人才住房保障管理暂行办法》《奉化区企业“三领”人才评审管理暂行办法》《奉化区“高层次人才服务包”的推行管理办法（试行）》等一系列人才政策，“1+X”人才政策体系逐渐完善。</w:t>
      </w:r>
    </w:p>
    <w:p>
      <w:pPr>
        <w:adjustRightInd w:val="0"/>
        <w:snapToGrid w:val="0"/>
        <w:spacing w:line="360" w:lineRule="auto"/>
        <w:ind w:firstLine="641"/>
        <w:rPr>
          <w:rFonts w:hAnsi="Times New Roman" w:eastAsia="仿宋" w:asciiTheme="majorHAnsi"/>
          <w:sz w:val="32"/>
          <w:szCs w:val="32"/>
        </w:rPr>
      </w:pPr>
      <w:r>
        <w:rPr>
          <w:rFonts w:hint="eastAsia" w:ascii="楷体" w:hAnsi="楷体" w:eastAsia="楷体"/>
          <w:b/>
          <w:sz w:val="32"/>
          <w:szCs w:val="32"/>
        </w:rPr>
        <w:t>5、创新环境更趋优化完善。</w:t>
      </w:r>
      <w:r>
        <w:rPr>
          <w:rFonts w:hint="eastAsia" w:hAnsi="Times New Roman" w:eastAsia="仿宋" w:asciiTheme="majorHAnsi"/>
          <w:sz w:val="32"/>
          <w:szCs w:val="32"/>
        </w:rPr>
        <w:t>先后制定出台了《关于深化“科技争投”优化创新生态的实施意见》、《宁波市奉化区中小微企业科技信贷风险池管理暂行办法》、《关于实施“春苗计划”培育“小而美”企业的意见》、《宁波市奉化区加快高新技术企业培育发展攻坚行动方案》、《宁波市奉化区科技计划项目管理办法》、《中共宁波市奉化区委关于坚定不移实施人才强区创新强区战略 加快推进高质量发展的决定》等系列科技新政。“最多跑一次”改革工作成效明显，所有科技项目申报实现网上统一受理和“跑零次”的目标，全区创新创业氛围明显增强，同时也有力地激活了企业创新动能。</w:t>
      </w:r>
    </w:p>
    <w:p>
      <w:pPr>
        <w:adjustRightInd w:val="0"/>
        <w:snapToGrid w:val="0"/>
        <w:spacing w:line="360" w:lineRule="auto"/>
        <w:ind w:firstLine="641"/>
        <w:rPr>
          <w:rFonts w:hAnsi="Times New Roman" w:eastAsia="仿宋" w:asciiTheme="majorHAnsi"/>
          <w:sz w:val="32"/>
          <w:szCs w:val="32"/>
        </w:rPr>
      </w:pPr>
      <w:r>
        <w:rPr>
          <w:rFonts w:hint="eastAsia" w:ascii="楷体" w:hAnsi="楷体" w:eastAsia="楷体"/>
          <w:b/>
          <w:sz w:val="32"/>
          <w:szCs w:val="32"/>
        </w:rPr>
        <w:t>6、综合创新能力大幅跃升。</w:t>
      </w:r>
      <w:r>
        <w:rPr>
          <w:rFonts w:hint="eastAsia" w:hAnsi="Times New Roman" w:eastAsia="仿宋" w:asciiTheme="majorHAnsi"/>
          <w:sz w:val="32"/>
          <w:szCs w:val="32"/>
        </w:rPr>
        <w:t>与“十二五”未相比，全社会研发投入绝对值同比增长75%，高新技术产业增加值同比增长172.6%；2020年，全区规上企业研发投入达15.6亿元，区属研发投入强度达3.11%，全区高新技术产业增加值达73.6亿元，高新技术产业增加值占区属规上工业增加值的比重达56.6%；全区拥有有效发明专利数达984件，全社会R&amp;D人员数达5500人，规上企业建立研发机构比例达30%。2019年奉化区跻身“全国综合实力百强区”71位，“全国科技创新百强区”73位。</w:t>
      </w:r>
    </w:p>
    <w:p>
      <w:pPr>
        <w:pStyle w:val="3"/>
        <w:rPr>
          <w:rFonts w:ascii="楷体" w:hAnsi="楷体" w:eastAsia="楷体"/>
          <w:bCs w:val="0"/>
        </w:rPr>
      </w:pPr>
      <w:bookmarkStart w:id="20" w:name="_Toc65657697"/>
      <w:r>
        <w:rPr>
          <w:rFonts w:hint="eastAsia" w:ascii="楷体" w:hAnsi="楷体" w:eastAsia="楷体"/>
          <w:bCs w:val="0"/>
        </w:rPr>
        <w:t>（</w:t>
      </w:r>
      <w:r>
        <w:rPr>
          <w:rFonts w:ascii="楷体" w:hAnsi="楷体" w:eastAsia="楷体"/>
          <w:bCs w:val="0"/>
        </w:rPr>
        <w:t>二</w:t>
      </w:r>
      <w:r>
        <w:rPr>
          <w:rFonts w:hint="eastAsia" w:ascii="楷体" w:hAnsi="楷体" w:eastAsia="楷体"/>
          <w:bCs w:val="0"/>
        </w:rPr>
        <w:t>）</w:t>
      </w:r>
      <w:bookmarkEnd w:id="14"/>
      <w:bookmarkEnd w:id="15"/>
      <w:bookmarkEnd w:id="16"/>
      <w:bookmarkEnd w:id="17"/>
      <w:bookmarkEnd w:id="18"/>
      <w:r>
        <w:rPr>
          <w:rFonts w:hint="eastAsia" w:ascii="楷体" w:hAnsi="楷体" w:eastAsia="楷体"/>
          <w:bCs w:val="0"/>
        </w:rPr>
        <w:t>面临形势</w:t>
      </w:r>
      <w:bookmarkEnd w:id="19"/>
      <w:bookmarkEnd w:id="20"/>
    </w:p>
    <w:p>
      <w:pPr>
        <w:spacing w:line="360" w:lineRule="auto"/>
        <w:ind w:firstLine="643" w:firstLineChars="200"/>
        <w:rPr>
          <w:rFonts w:hAnsi="Times New Roman" w:eastAsia="仿宋" w:asciiTheme="majorHAnsi"/>
          <w:sz w:val="32"/>
          <w:szCs w:val="32"/>
        </w:rPr>
      </w:pPr>
      <w:r>
        <w:rPr>
          <w:rFonts w:hint="eastAsia" w:ascii="楷体" w:hAnsi="楷体" w:eastAsia="楷体"/>
          <w:b/>
          <w:sz w:val="32"/>
          <w:szCs w:val="32"/>
        </w:rPr>
        <w:t>科技创新处于发展全局核心地位为奉化提供新机遇。</w:t>
      </w:r>
      <w:r>
        <w:rPr>
          <w:rFonts w:hint="eastAsia" w:hAnsi="Times New Roman" w:eastAsia="仿宋" w:asciiTheme="majorHAnsi"/>
          <w:sz w:val="32"/>
          <w:szCs w:val="32"/>
        </w:rPr>
        <w:t>当前，世界百年未有之大变局进入加速演变期，新冠肺炎疫情影响广泛深远，面对复杂敏感的国际形势和周边环境，我国提出以国内大循环为主体、国内国际双循环相互促进的新发展格局。党的十九届五中全会提出要坚持创新在我国现代化建设全局中的核心地位，把科技自立自强作为国家发展的战略支撑。加快补齐创新短板，实现科技自立自强，已成为当前全社会的普遍共识，对于奉化区而言，面临新一轮科技革命和产业变革深入发展的新机遇，要结合现有产业优势，面向先进材料、智能装备、生命健康、节能环保等领域，探索创新机制改革，加快自主创新步伐，培育带动区域经济高质量发展。</w:t>
      </w:r>
    </w:p>
    <w:p>
      <w:pPr>
        <w:spacing w:line="360" w:lineRule="auto"/>
        <w:ind w:firstLine="643" w:firstLineChars="200"/>
        <w:rPr>
          <w:rFonts w:hAnsi="Times New Roman" w:eastAsia="仿宋" w:asciiTheme="majorHAnsi"/>
          <w:sz w:val="32"/>
          <w:szCs w:val="32"/>
        </w:rPr>
      </w:pPr>
      <w:r>
        <w:rPr>
          <w:rFonts w:hint="eastAsia" w:ascii="楷体" w:hAnsi="楷体" w:eastAsia="楷体"/>
          <w:b/>
          <w:sz w:val="32"/>
          <w:szCs w:val="32"/>
        </w:rPr>
        <w:t>宁波加快建设高水平创新型城市赋予奉化新使命。</w:t>
      </w:r>
      <w:r>
        <w:rPr>
          <w:rFonts w:hint="eastAsia" w:hAnsi="Times New Roman" w:eastAsia="仿宋" w:asciiTheme="majorHAnsi"/>
          <w:sz w:val="32"/>
          <w:szCs w:val="32"/>
        </w:rPr>
        <w:t>当前，宁波开启高水平现代化建设新征程，“首位战略”赋予科技创新的重视程度前所未有。创新引领未来发展，创新决定城市未来，在新阶段，宁波提出实施人才和创新“栽树工程”、加快建设高水平创新型城市和建成新时代全面展示中国特色社会主义制度优越性重要窗口模范生的新定位和新目标，也赋予了奉化区新使命和新任务。随着奉化区全方位融入宁波“半小时交通圈”，都市型工业发展特征将更加明显，更加需要依靠科技创新来塑造产业竞争优势，提高产业附加值和生命力。</w:t>
      </w:r>
    </w:p>
    <w:p>
      <w:pPr>
        <w:spacing w:line="360" w:lineRule="auto"/>
        <w:ind w:firstLine="643" w:firstLineChars="200"/>
        <w:rPr>
          <w:rFonts w:hAnsi="Times New Roman" w:eastAsia="仿宋" w:asciiTheme="majorHAnsi"/>
          <w:sz w:val="32"/>
          <w:szCs w:val="32"/>
        </w:rPr>
      </w:pPr>
      <w:r>
        <w:rPr>
          <w:rFonts w:hint="eastAsia" w:ascii="楷体" w:hAnsi="楷体" w:eastAsia="楷体"/>
          <w:b/>
          <w:sz w:val="32"/>
          <w:szCs w:val="32"/>
        </w:rPr>
        <w:t>奉化开启“跨越发展、最美最好”的战略新征程。</w:t>
      </w:r>
      <w:r>
        <w:rPr>
          <w:rFonts w:hint="eastAsia" w:hAnsi="Times New Roman" w:eastAsia="仿宋" w:asciiTheme="majorHAnsi"/>
          <w:sz w:val="32"/>
          <w:szCs w:val="32"/>
        </w:rPr>
        <w:t>奉化区撤市设区以来，在同城统筹发展、改革集成赋能、城市经济转型等方面都实现了新突破，为打造宁波南部创新创业集聚地创造了良好的发展基础。但目前奉化区在高端创新要素集聚、产业创新能力水平、重大创新成果表现等方面仍存在短板，迫切需要根据区域科技创新资源集聚的规律，通过探索特色创新改革之路，构建完善的创新创业生态，加快打造人才强区和创新强区，为实现“跨越发展、最美最好”的奋斗目标，建设现代化健康美丽新城区提供引领支撑。</w:t>
      </w:r>
    </w:p>
    <w:p>
      <w:pPr>
        <w:pStyle w:val="3"/>
        <w:rPr>
          <w:rFonts w:ascii="楷体" w:hAnsi="楷体" w:eastAsia="楷体"/>
          <w:bCs w:val="0"/>
        </w:rPr>
      </w:pPr>
      <w:bookmarkStart w:id="21" w:name="_Toc54252340"/>
      <w:bookmarkStart w:id="22" w:name="_Toc65657698"/>
      <w:r>
        <w:rPr>
          <w:rFonts w:hint="eastAsia" w:ascii="楷体" w:hAnsi="楷体" w:eastAsia="楷体"/>
          <w:bCs w:val="0"/>
        </w:rPr>
        <w:t>（三）问题短板</w:t>
      </w:r>
      <w:bookmarkEnd w:id="21"/>
      <w:bookmarkEnd w:id="22"/>
    </w:p>
    <w:p>
      <w:pPr>
        <w:spacing w:line="360" w:lineRule="auto"/>
        <w:ind w:firstLine="643" w:firstLineChars="200"/>
        <w:rPr>
          <w:rFonts w:ascii="仿宋" w:hAnsi="仿宋" w:eastAsia="仿宋"/>
          <w:sz w:val="32"/>
          <w:szCs w:val="32"/>
        </w:rPr>
      </w:pPr>
      <w:r>
        <w:rPr>
          <w:rFonts w:hint="eastAsia" w:ascii="楷体" w:hAnsi="楷体" w:eastAsia="楷体"/>
          <w:b/>
          <w:sz w:val="32"/>
          <w:szCs w:val="32"/>
        </w:rPr>
        <w:t>创新整体位次有待提升。</w:t>
      </w:r>
      <w:r>
        <w:rPr>
          <w:rFonts w:hint="eastAsia" w:ascii="仿宋" w:hAnsi="仿宋" w:eastAsia="仿宋"/>
          <w:sz w:val="32"/>
          <w:szCs w:val="32"/>
        </w:rPr>
        <w:t>《2</w:t>
      </w:r>
      <w:r>
        <w:rPr>
          <w:rFonts w:ascii="仿宋" w:hAnsi="仿宋" w:eastAsia="仿宋"/>
          <w:sz w:val="32"/>
          <w:szCs w:val="32"/>
        </w:rPr>
        <w:t>019</w:t>
      </w:r>
      <w:r>
        <w:rPr>
          <w:rFonts w:hint="eastAsia" w:ascii="仿宋" w:hAnsi="仿宋" w:eastAsia="仿宋"/>
          <w:sz w:val="32"/>
          <w:szCs w:val="32"/>
        </w:rPr>
        <w:t>年度浙江省各县（市区）科技进步统计监测评价报告》显示，奉化在浙江全省8</w:t>
      </w:r>
      <w:r>
        <w:rPr>
          <w:rFonts w:ascii="仿宋" w:hAnsi="仿宋" w:eastAsia="仿宋"/>
          <w:sz w:val="32"/>
          <w:szCs w:val="32"/>
        </w:rPr>
        <w:t>9</w:t>
      </w:r>
      <w:r>
        <w:rPr>
          <w:rFonts w:hint="eastAsia" w:ascii="仿宋" w:hAnsi="仿宋" w:eastAsia="仿宋"/>
          <w:sz w:val="32"/>
          <w:szCs w:val="32"/>
        </w:rPr>
        <w:t>个县（市、区）中创新指数综合排名第</w:t>
      </w:r>
      <w:r>
        <w:rPr>
          <w:rFonts w:ascii="仿宋" w:hAnsi="仿宋" w:eastAsia="仿宋"/>
          <w:sz w:val="32"/>
          <w:szCs w:val="32"/>
        </w:rPr>
        <w:t>44</w:t>
      </w:r>
      <w:r>
        <w:rPr>
          <w:rFonts w:hint="eastAsia" w:ascii="仿宋" w:hAnsi="仿宋" w:eastAsia="仿宋"/>
          <w:sz w:val="32"/>
          <w:szCs w:val="32"/>
        </w:rPr>
        <w:t>位，其中技术创新指数和科技投入指数两个分项排名第</w:t>
      </w:r>
      <w:r>
        <w:rPr>
          <w:rFonts w:ascii="仿宋" w:hAnsi="仿宋" w:eastAsia="仿宋"/>
          <w:sz w:val="32"/>
          <w:szCs w:val="32"/>
        </w:rPr>
        <w:t>19</w:t>
      </w:r>
      <w:r>
        <w:rPr>
          <w:rFonts w:hint="eastAsia" w:ascii="仿宋" w:hAnsi="仿宋" w:eastAsia="仿宋"/>
          <w:sz w:val="32"/>
          <w:szCs w:val="32"/>
        </w:rPr>
        <w:t>和第</w:t>
      </w:r>
      <w:r>
        <w:rPr>
          <w:rFonts w:ascii="仿宋" w:hAnsi="仿宋" w:eastAsia="仿宋"/>
          <w:sz w:val="32"/>
          <w:szCs w:val="32"/>
        </w:rPr>
        <w:t>41</w:t>
      </w:r>
      <w:r>
        <w:rPr>
          <w:rFonts w:hint="eastAsia" w:ascii="仿宋" w:hAnsi="仿宋" w:eastAsia="仿宋"/>
          <w:sz w:val="32"/>
          <w:szCs w:val="32"/>
        </w:rPr>
        <w:t>位。在《宁波市创新型城市建设白皮书——</w:t>
      </w:r>
      <w:r>
        <w:rPr>
          <w:rFonts w:ascii="仿宋" w:hAnsi="仿宋" w:eastAsia="仿宋"/>
          <w:sz w:val="32"/>
          <w:szCs w:val="32"/>
        </w:rPr>
        <w:t>2019</w:t>
      </w:r>
      <w:r>
        <w:rPr>
          <w:rFonts w:hint="eastAsia" w:ascii="仿宋" w:hAnsi="仿宋" w:eastAsia="仿宋"/>
          <w:sz w:val="32"/>
          <w:szCs w:val="32"/>
        </w:rPr>
        <w:t>年度评价报告》中，奉化在全市1</w:t>
      </w:r>
      <w:r>
        <w:rPr>
          <w:rFonts w:ascii="仿宋" w:hAnsi="仿宋" w:eastAsia="仿宋"/>
          <w:sz w:val="32"/>
          <w:szCs w:val="32"/>
        </w:rPr>
        <w:t>0</w:t>
      </w:r>
      <w:r>
        <w:rPr>
          <w:rFonts w:hint="eastAsia" w:ascii="仿宋" w:hAnsi="仿宋" w:eastAsia="仿宋"/>
          <w:sz w:val="32"/>
          <w:szCs w:val="32"/>
        </w:rPr>
        <w:t>个区县（市）中排名第9位，在全市争先进位中还有较大的提升空间。</w:t>
      </w:r>
    </w:p>
    <w:p>
      <w:pPr>
        <w:spacing w:line="360" w:lineRule="auto"/>
        <w:ind w:firstLine="643" w:firstLineChars="200"/>
        <w:rPr>
          <w:rFonts w:hAnsi="Times New Roman" w:eastAsia="仿宋" w:asciiTheme="majorHAnsi"/>
          <w:bCs/>
          <w:sz w:val="32"/>
          <w:szCs w:val="32"/>
        </w:rPr>
      </w:pPr>
      <w:r>
        <w:rPr>
          <w:rFonts w:hint="eastAsia" w:ascii="楷体" w:hAnsi="楷体" w:eastAsia="楷体"/>
          <w:b/>
          <w:sz w:val="32"/>
          <w:szCs w:val="32"/>
        </w:rPr>
        <w:t>创新投入强度有待加强。</w:t>
      </w:r>
      <w:r>
        <w:rPr>
          <w:rFonts w:hint="eastAsia" w:hAnsi="Times New Roman" w:eastAsia="仿宋" w:asciiTheme="majorHAnsi"/>
          <w:bCs/>
          <w:sz w:val="32"/>
          <w:szCs w:val="32"/>
        </w:rPr>
        <w:t>区内企业大多单体规模较小，承受创新风险能力相对较弱，创新投入不足。2020年，全区规上企业研发投入15.6亿元，排名全市第9位，全社会R&amp;D经费支出占GDP比重在区县（市）中排名明显靠后。此外，全区规上企业中无研发投入的企业占比较高，2020年，604家规上企业中无研发投入的企业达268家，占比高达44.3%。</w:t>
      </w:r>
    </w:p>
    <w:p>
      <w:pPr>
        <w:spacing w:line="360" w:lineRule="auto"/>
        <w:ind w:firstLine="643" w:firstLineChars="200"/>
        <w:rPr>
          <w:rFonts w:hAnsi="Times New Roman" w:eastAsia="仿宋" w:asciiTheme="majorHAnsi"/>
          <w:sz w:val="32"/>
          <w:szCs w:val="32"/>
        </w:rPr>
      </w:pPr>
      <w:r>
        <w:rPr>
          <w:rFonts w:hint="eastAsia" w:ascii="楷体" w:hAnsi="楷体" w:eastAsia="楷体"/>
          <w:b/>
          <w:sz w:val="32"/>
          <w:szCs w:val="32"/>
        </w:rPr>
        <w:t>创新主体和人才规模有待壮大。</w:t>
      </w:r>
      <w:r>
        <w:rPr>
          <w:rFonts w:hint="eastAsia" w:hAnsi="Times New Roman" w:eastAsia="仿宋" w:asciiTheme="majorHAnsi"/>
          <w:sz w:val="32"/>
          <w:szCs w:val="32"/>
        </w:rPr>
        <w:t>区内科技型中小企业数、高新技术企业在全市排名均居于末位水平，与先进区县（市）相比存在很大差距。创新领军型企业数量较少，对产业发展的引领带动有待进一步加强。“高精尖”人才和基础实用性人才仍然薄弱，人才引进难、留住难、培养难、作用发挥难的问题仍未完全破解。</w:t>
      </w:r>
    </w:p>
    <w:p>
      <w:pPr>
        <w:spacing w:line="360" w:lineRule="auto"/>
        <w:ind w:firstLine="643" w:firstLineChars="200"/>
        <w:rPr>
          <w:rFonts w:hAnsi="Times New Roman" w:eastAsia="仿宋" w:asciiTheme="majorHAnsi"/>
        </w:rPr>
      </w:pPr>
      <w:bookmarkStart w:id="23" w:name="_Toc438413986"/>
      <w:bookmarkStart w:id="24" w:name="_Toc438413319"/>
      <w:r>
        <w:rPr>
          <w:rFonts w:hint="eastAsia" w:ascii="楷体" w:hAnsi="楷体" w:eastAsia="楷体"/>
          <w:b/>
          <w:sz w:val="32"/>
          <w:szCs w:val="32"/>
        </w:rPr>
        <w:t>产业创新动力仍然不足。</w:t>
      </w:r>
      <w:r>
        <w:rPr>
          <w:rFonts w:hint="eastAsia" w:hAnsi="Times New Roman" w:eastAsia="仿宋" w:asciiTheme="majorHAnsi"/>
          <w:bCs/>
          <w:sz w:val="32"/>
          <w:szCs w:val="32"/>
        </w:rPr>
        <w:t>全区经济发展仍以传统产业为主，新动能培育不足。“十三五”期间，虽然高新技术产业增加值占比逐步上升，但相比于其他区县（市）明显偏低。</w:t>
      </w:r>
      <w:r>
        <w:rPr>
          <w:rFonts w:hAnsi="Times New Roman" w:eastAsia="仿宋" w:asciiTheme="majorHAnsi"/>
          <w:sz w:val="32"/>
          <w:szCs w:val="32"/>
        </w:rPr>
        <w:t>20</w:t>
      </w:r>
      <w:r>
        <w:rPr>
          <w:rFonts w:hint="eastAsia" w:hAnsi="Times New Roman" w:eastAsia="仿宋" w:asciiTheme="majorHAnsi"/>
          <w:sz w:val="32"/>
          <w:szCs w:val="32"/>
        </w:rPr>
        <w:t>20年高新技术产业增加值73.6亿元，占规模以上工业增加值的比重仅为23</w:t>
      </w:r>
      <w:r>
        <w:rPr>
          <w:rFonts w:hAnsi="Times New Roman" w:eastAsia="仿宋" w:asciiTheme="majorHAnsi"/>
          <w:sz w:val="32"/>
          <w:szCs w:val="32"/>
        </w:rPr>
        <w:t>.</w:t>
      </w:r>
      <w:r>
        <w:rPr>
          <w:rFonts w:hint="eastAsia" w:hAnsi="Times New Roman" w:eastAsia="仿宋" w:asciiTheme="majorHAnsi"/>
          <w:sz w:val="32"/>
          <w:szCs w:val="32"/>
        </w:rPr>
        <w:t>4%，增加值在全市</w:t>
      </w:r>
      <w:r>
        <w:rPr>
          <w:rFonts w:hint="eastAsia" w:hAnsi="Times New Roman" w:eastAsia="仿宋" w:asciiTheme="majorHAnsi"/>
          <w:bCs/>
          <w:sz w:val="32"/>
          <w:szCs w:val="32"/>
        </w:rPr>
        <w:t>排名第9</w:t>
      </w:r>
      <w:r>
        <w:rPr>
          <w:rFonts w:hint="eastAsia" w:hAnsi="Times New Roman" w:eastAsia="仿宋" w:asciiTheme="majorHAnsi"/>
          <w:sz w:val="32"/>
          <w:szCs w:val="32"/>
        </w:rPr>
        <w:t>。此外，科技创新在引领支撑产业创新方面作用不突出，规模以上工业新产品产值率等指标在区县（市）中排名靠后，离宁波平均水平有较大差距。</w:t>
      </w:r>
    </w:p>
    <w:p>
      <w:pPr>
        <w:spacing w:line="360" w:lineRule="auto"/>
        <w:ind w:firstLine="643" w:firstLineChars="200"/>
        <w:rPr>
          <w:rFonts w:ascii="楷体" w:hAnsi="楷体" w:eastAsia="楷体"/>
          <w:b/>
          <w:sz w:val="32"/>
          <w:szCs w:val="32"/>
        </w:rPr>
      </w:pPr>
      <w:r>
        <w:rPr>
          <w:rFonts w:hint="eastAsia" w:ascii="楷体" w:hAnsi="楷体" w:eastAsia="楷体"/>
          <w:b/>
          <w:sz w:val="32"/>
          <w:szCs w:val="32"/>
        </w:rPr>
        <w:t>创新平台功能有待发挥。</w:t>
      </w:r>
      <w:r>
        <w:rPr>
          <w:rFonts w:hint="eastAsia" w:hAnsi="Times New Roman" w:eastAsia="仿宋" w:asciiTheme="majorHAnsi"/>
          <w:sz w:val="32"/>
          <w:szCs w:val="32"/>
        </w:rPr>
        <w:t>省级、国家级区域创新平台相对缺乏，科技创新资源整合运用能力和整体综合效益仍需提高，虽然近年来引进培育了一些创新平台，但由于创建时间相对较短，在引进创新资源要素、深化创新创业服务、培育孵化科技企业、集聚高端人才团队等方面的效果还不明显。</w:t>
      </w:r>
      <w:bookmarkEnd w:id="23"/>
      <w:bookmarkEnd w:id="24"/>
    </w:p>
    <w:p>
      <w:pPr>
        <w:pStyle w:val="2"/>
        <w:tabs>
          <w:tab w:val="center" w:pos="4156"/>
          <w:tab w:val="left" w:pos="7536"/>
        </w:tabs>
        <w:adjustRightInd w:val="0"/>
        <w:snapToGrid w:val="0"/>
        <w:spacing w:before="468" w:beforeLines="150" w:after="156" w:afterLines="50" w:line="360" w:lineRule="auto"/>
        <w:jc w:val="left"/>
        <w:rPr>
          <w:rFonts w:hAnsi="Times New Roman" w:eastAsia="黑体" w:asciiTheme="majorHAnsi"/>
          <w:sz w:val="36"/>
          <w:szCs w:val="36"/>
        </w:rPr>
      </w:pPr>
      <w:bookmarkStart w:id="25" w:name="_Toc65657699"/>
      <w:bookmarkStart w:id="26" w:name="_Toc54252341"/>
      <w:r>
        <w:rPr>
          <w:rFonts w:hint="eastAsia" w:hAnsi="Times New Roman" w:eastAsia="黑体" w:asciiTheme="majorHAnsi"/>
          <w:sz w:val="36"/>
          <w:szCs w:val="36"/>
        </w:rPr>
        <w:t>二、总体要求与发展目标</w:t>
      </w:r>
      <w:bookmarkEnd w:id="25"/>
      <w:bookmarkEnd w:id="26"/>
    </w:p>
    <w:p>
      <w:pPr>
        <w:pStyle w:val="3"/>
        <w:rPr>
          <w:rFonts w:ascii="楷体" w:hAnsi="楷体" w:eastAsia="楷体"/>
          <w:bCs w:val="0"/>
        </w:rPr>
      </w:pPr>
      <w:bookmarkStart w:id="27" w:name="_Toc65657700"/>
      <w:bookmarkStart w:id="28" w:name="_Toc54252342"/>
      <w:r>
        <w:rPr>
          <w:rFonts w:hint="eastAsia" w:ascii="楷体" w:hAnsi="楷体" w:eastAsia="楷体"/>
          <w:bCs w:val="0"/>
        </w:rPr>
        <w:t>（一）指导思想</w:t>
      </w:r>
      <w:bookmarkEnd w:id="27"/>
      <w:bookmarkEnd w:id="28"/>
    </w:p>
    <w:p>
      <w:pPr>
        <w:widowControl/>
        <w:spacing w:line="360" w:lineRule="auto"/>
        <w:ind w:firstLine="645"/>
        <w:rPr>
          <w:rFonts w:hAnsi="Times New Roman" w:eastAsia="仿宋" w:asciiTheme="majorHAnsi"/>
          <w:kern w:val="0"/>
          <w:sz w:val="32"/>
          <w:szCs w:val="32"/>
        </w:rPr>
      </w:pPr>
      <w:r>
        <w:rPr>
          <w:rFonts w:hint="eastAsia" w:hAnsi="Times New Roman" w:eastAsia="仿宋" w:asciiTheme="majorHAnsi"/>
          <w:kern w:val="0"/>
          <w:sz w:val="32"/>
          <w:szCs w:val="32"/>
        </w:rPr>
        <w:t>以习近平新时代中国特色社会主义思想为指导，全面贯彻落实党的十九大和十九届二中、三中、四中、五中全会精神，按照习</w:t>
      </w:r>
      <w:r>
        <w:rPr>
          <w:rFonts w:hint="eastAsia" w:hAnsi="Times New Roman" w:eastAsia="仿宋" w:asciiTheme="majorHAnsi"/>
          <w:kern w:val="0"/>
          <w:sz w:val="32"/>
          <w:szCs w:val="32"/>
          <w:lang w:eastAsia="zh-CN"/>
        </w:rPr>
        <w:t>近平</w:t>
      </w:r>
      <w:bookmarkStart w:id="174" w:name="_GoBack"/>
      <w:bookmarkEnd w:id="174"/>
      <w:r>
        <w:rPr>
          <w:rFonts w:hint="eastAsia" w:hAnsi="Times New Roman" w:eastAsia="仿宋" w:asciiTheme="majorHAnsi"/>
          <w:kern w:val="0"/>
          <w:sz w:val="32"/>
          <w:szCs w:val="32"/>
        </w:rPr>
        <w:t>总书记在浙江、宁波考察时的讲话精神和省委省政府、市委市政府总体决策部署，坚持创新在全区现代化建设中的核心地位，以首位战略标准推进人才强区、创新强区建设，加快完善功能联动互补的创新布局，统筹实施创新主体育苗造林、创新平台扩容提质、产业技术支撑引领、开放协同创新推进、科技惠农惠民提升、创新人才引育支撑、创新创业生态优化七大科技创新工程，加快构建人才聚集洼地、创新创业高地、科创生态福地，积极打造宁波都市区南翼的科创高地和长三角南翼具有影响力的特色创新极，努力为加速推进全区经济高质量发展提供强大科技支撑。</w:t>
      </w:r>
    </w:p>
    <w:p>
      <w:pPr>
        <w:pStyle w:val="3"/>
        <w:rPr>
          <w:rFonts w:ascii="楷体" w:hAnsi="楷体" w:eastAsia="楷体"/>
          <w:bCs w:val="0"/>
        </w:rPr>
      </w:pPr>
      <w:bookmarkStart w:id="29" w:name="_Toc65657701"/>
      <w:r>
        <w:rPr>
          <w:rFonts w:hint="eastAsia" w:ascii="楷体" w:hAnsi="楷体" w:eastAsia="楷体"/>
          <w:bCs w:val="0"/>
        </w:rPr>
        <w:t>（二）基本原则</w:t>
      </w:r>
      <w:bookmarkEnd w:id="29"/>
    </w:p>
    <w:p>
      <w:pPr>
        <w:adjustRightInd w:val="0"/>
        <w:snapToGrid w:val="0"/>
        <w:spacing w:line="360" w:lineRule="auto"/>
        <w:ind w:left="-105" w:leftChars="-50" w:right="-105" w:rightChars="-50" w:firstLine="641"/>
        <w:jc w:val="left"/>
        <w:rPr>
          <w:rFonts w:ascii="仿宋" w:hAnsi="仿宋" w:eastAsia="仿宋" w:cs="仿宋_GB2312"/>
          <w:sz w:val="32"/>
          <w:szCs w:val="32"/>
        </w:rPr>
      </w:pPr>
      <w:r>
        <w:rPr>
          <w:rFonts w:hint="eastAsia" w:ascii="楷体" w:hAnsi="楷体" w:eastAsia="楷体"/>
          <w:b/>
          <w:sz w:val="32"/>
          <w:szCs w:val="32"/>
        </w:rPr>
        <w:t>坚持核心引领、战略支撑。</w:t>
      </w:r>
      <w:r>
        <w:rPr>
          <w:rFonts w:hint="eastAsia" w:ascii="仿宋" w:hAnsi="仿宋" w:eastAsia="仿宋" w:cs="仿宋_GB2312"/>
          <w:sz w:val="32"/>
          <w:szCs w:val="32"/>
        </w:rPr>
        <w:t>强化科技创新在全区现代化建设中的核心引领地位，充分发挥科技创新在高质量发展中的关键变量和战略支撑作用，聚焦“四个面向”全力推进科技进步，强化创新要素保障，为经济社会发展提供高水平科技供给。</w:t>
      </w:r>
    </w:p>
    <w:p>
      <w:pPr>
        <w:pStyle w:val="10"/>
        <w:adjustRightInd w:val="0"/>
        <w:snapToGrid w:val="0"/>
        <w:spacing w:after="0" w:line="360" w:lineRule="auto"/>
        <w:ind w:left="-105" w:leftChars="-50" w:right="-105" w:rightChars="-50" w:firstLine="641" w:firstLineChars="0"/>
        <w:rPr>
          <w:rFonts w:ascii="仿宋" w:hAnsi="仿宋" w:eastAsia="仿宋" w:cs="仿宋_GB2312"/>
          <w:sz w:val="32"/>
          <w:szCs w:val="32"/>
        </w:rPr>
      </w:pPr>
      <w:r>
        <w:rPr>
          <w:rFonts w:hint="eastAsia" w:ascii="楷体" w:hAnsi="楷体" w:eastAsia="楷体"/>
          <w:b/>
          <w:sz w:val="32"/>
          <w:szCs w:val="32"/>
        </w:rPr>
        <w:t>坚持政府引导、市场主体。</w:t>
      </w:r>
      <w:r>
        <w:rPr>
          <w:rFonts w:hint="eastAsia" w:ascii="仿宋" w:hAnsi="仿宋" w:eastAsia="仿宋" w:cs="仿宋_GB2312"/>
          <w:sz w:val="32"/>
          <w:szCs w:val="32"/>
        </w:rPr>
        <w:t xml:space="preserve">发挥政府在重要创新基础设施和重大平台方面建设方面的主导作用，强化市场在资源配置中的决定性作用，加强政府引导激励，强化企业创新主体地位，促进各类创新要素向企业聚集，有效激发企业内生动力和创新活力。 </w:t>
      </w:r>
      <w:r>
        <w:rPr>
          <w:rFonts w:ascii="仿宋" w:hAnsi="仿宋" w:eastAsia="仿宋" w:cs="仿宋_GB2312"/>
          <w:sz w:val="32"/>
          <w:szCs w:val="32"/>
        </w:rPr>
        <w:t xml:space="preserve">         </w:t>
      </w:r>
    </w:p>
    <w:p>
      <w:pPr>
        <w:spacing w:line="360" w:lineRule="auto"/>
        <w:ind w:firstLine="641"/>
        <w:rPr>
          <w:rFonts w:ascii="仿宋" w:hAnsi="仿宋" w:eastAsia="仿宋" w:cs="仿宋_GB2312"/>
          <w:sz w:val="32"/>
          <w:szCs w:val="32"/>
        </w:rPr>
      </w:pPr>
      <w:r>
        <w:rPr>
          <w:rFonts w:hint="eastAsia" w:ascii="楷体" w:hAnsi="楷体" w:eastAsia="楷体"/>
          <w:b/>
          <w:sz w:val="32"/>
          <w:szCs w:val="32"/>
        </w:rPr>
        <w:t>坚持统筹协调、重点突破。</w:t>
      </w:r>
      <w:r>
        <w:rPr>
          <w:rFonts w:hint="eastAsia" w:ascii="仿宋" w:hAnsi="仿宋" w:eastAsia="仿宋" w:cs="仿宋_GB2312"/>
          <w:sz w:val="32"/>
          <w:szCs w:val="32"/>
        </w:rPr>
        <w:t>统筹推进区域创新体系建设，紧盯制约高端人才集聚、高新技术产业发展、科技成果转移转化、区域创新体系完善等科技创新与产业发展的重点领域和重点环节，加大制度设计和政策创新力度，不断提升自主创新能力。</w:t>
      </w:r>
    </w:p>
    <w:p>
      <w:pPr>
        <w:spacing w:line="360" w:lineRule="auto"/>
        <w:ind w:firstLine="641"/>
        <w:rPr>
          <w:rFonts w:ascii="仿宋" w:hAnsi="仿宋" w:eastAsia="仿宋" w:cs="仿宋_GB2312"/>
          <w:sz w:val="32"/>
          <w:szCs w:val="32"/>
        </w:rPr>
      </w:pPr>
      <w:r>
        <w:rPr>
          <w:rFonts w:hint="eastAsia" w:ascii="楷体" w:hAnsi="楷体" w:eastAsia="楷体"/>
          <w:b/>
          <w:sz w:val="32"/>
          <w:szCs w:val="32"/>
        </w:rPr>
        <w:t>坚持深化改革、完善生态。</w:t>
      </w:r>
      <w:r>
        <w:rPr>
          <w:rFonts w:hint="eastAsia" w:ascii="仿宋" w:hAnsi="仿宋" w:eastAsia="仿宋" w:cs="仿宋_GB2312"/>
          <w:sz w:val="32"/>
          <w:szCs w:val="32"/>
        </w:rPr>
        <w:t>把破解制约创新驱动发展的体制机制障碍作为着力点，找准突破口，增强针对性，</w:t>
      </w:r>
      <w:bookmarkStart w:id="30" w:name="_Toc459378286"/>
      <w:bookmarkStart w:id="31" w:name="_Toc438413995"/>
      <w:bookmarkStart w:id="32" w:name="_Toc459378170"/>
      <w:bookmarkStart w:id="33" w:name="_Toc459376766"/>
      <w:bookmarkStart w:id="34" w:name="_Toc54252344"/>
      <w:r>
        <w:rPr>
          <w:rFonts w:hint="eastAsia" w:ascii="仿宋" w:hAnsi="仿宋" w:eastAsia="仿宋" w:cs="仿宋_GB2312"/>
          <w:sz w:val="32"/>
          <w:szCs w:val="32"/>
        </w:rPr>
        <w:t>更加有效地聚集创新要素、释放创新活力，构建</w:t>
      </w:r>
      <w:r>
        <w:rPr>
          <w:rFonts w:ascii="仿宋" w:hAnsi="仿宋" w:eastAsia="仿宋" w:cs="仿宋_GB2312"/>
          <w:sz w:val="32"/>
          <w:szCs w:val="32"/>
        </w:rPr>
        <w:t>更</w:t>
      </w:r>
      <w:r>
        <w:rPr>
          <w:rFonts w:hint="eastAsia" w:ascii="仿宋" w:hAnsi="仿宋" w:eastAsia="仿宋" w:cs="仿宋_GB2312"/>
          <w:sz w:val="32"/>
          <w:szCs w:val="32"/>
        </w:rPr>
        <w:t>加</w:t>
      </w:r>
      <w:r>
        <w:rPr>
          <w:rFonts w:ascii="仿宋" w:hAnsi="仿宋" w:eastAsia="仿宋" w:cs="仿宋_GB2312"/>
          <w:sz w:val="32"/>
          <w:szCs w:val="32"/>
        </w:rPr>
        <w:t>完善、更有活力的创业创新生态系统</w:t>
      </w:r>
      <w:r>
        <w:rPr>
          <w:rFonts w:hint="eastAsia" w:ascii="仿宋" w:hAnsi="仿宋" w:eastAsia="仿宋" w:cs="仿宋_GB2312"/>
          <w:sz w:val="32"/>
          <w:szCs w:val="32"/>
        </w:rPr>
        <w:t>。</w:t>
      </w:r>
    </w:p>
    <w:p>
      <w:pPr>
        <w:pStyle w:val="3"/>
        <w:rPr>
          <w:rFonts w:ascii="楷体" w:hAnsi="楷体" w:eastAsia="楷体"/>
          <w:bCs w:val="0"/>
        </w:rPr>
      </w:pPr>
      <w:bookmarkStart w:id="35" w:name="_Toc65657702"/>
      <w:r>
        <w:rPr>
          <w:rFonts w:hint="eastAsia" w:ascii="楷体" w:hAnsi="楷体" w:eastAsia="楷体"/>
          <w:bCs w:val="0"/>
        </w:rPr>
        <w:t>（三）发展</w:t>
      </w:r>
      <w:r>
        <w:rPr>
          <w:rFonts w:ascii="楷体" w:hAnsi="楷体" w:eastAsia="楷体"/>
          <w:bCs w:val="0"/>
        </w:rPr>
        <w:t>目标</w:t>
      </w:r>
      <w:bookmarkEnd w:id="30"/>
      <w:bookmarkEnd w:id="31"/>
      <w:bookmarkEnd w:id="32"/>
      <w:bookmarkEnd w:id="33"/>
      <w:bookmarkEnd w:id="34"/>
      <w:bookmarkEnd w:id="35"/>
    </w:p>
    <w:p>
      <w:pPr>
        <w:adjustRightInd w:val="0"/>
        <w:snapToGrid w:val="0"/>
        <w:spacing w:line="360" w:lineRule="auto"/>
        <w:ind w:firstLine="641"/>
        <w:rPr>
          <w:rFonts w:hAnsi="Times New Roman" w:eastAsia="仿宋" w:asciiTheme="majorHAnsi"/>
          <w:sz w:val="32"/>
          <w:szCs w:val="32"/>
        </w:rPr>
      </w:pPr>
      <w:r>
        <w:rPr>
          <w:rFonts w:hint="eastAsia" w:hAnsi="Times New Roman" w:eastAsia="仿宋" w:asciiTheme="majorHAnsi"/>
          <w:sz w:val="32"/>
          <w:szCs w:val="32"/>
        </w:rPr>
        <w:t>力争到2025年，全区科技创新实现高质量跨越式发展，创新主体更加活跃、创新资源更加集聚、创新能力更加突出、创新生态更加优良，区域综合创新指数排名在全省位次显著前移。</w:t>
      </w:r>
    </w:p>
    <w:p>
      <w:pPr>
        <w:adjustRightInd w:val="0"/>
        <w:snapToGrid w:val="0"/>
        <w:spacing w:line="360" w:lineRule="auto"/>
        <w:ind w:firstLine="641"/>
        <w:rPr>
          <w:rFonts w:hAnsi="Times New Roman" w:eastAsia="仿宋" w:asciiTheme="majorHAnsi"/>
          <w:sz w:val="32"/>
          <w:szCs w:val="32"/>
        </w:rPr>
      </w:pPr>
      <w:r>
        <w:rPr>
          <w:rFonts w:hint="eastAsia" w:hAnsi="Times New Roman" w:eastAsia="仿宋" w:asciiTheme="majorHAnsi"/>
          <w:sz w:val="32"/>
          <w:szCs w:val="32"/>
        </w:rPr>
        <w:t>力争实现</w:t>
      </w:r>
      <w:r>
        <w:rPr>
          <w:rFonts w:hint="eastAsia" w:hAnsi="Times New Roman" w:eastAsia="仿宋" w:asciiTheme="majorHAnsi"/>
          <w:b/>
          <w:sz w:val="32"/>
          <w:szCs w:val="32"/>
        </w:rPr>
        <w:t>“六倍增，六提升”</w:t>
      </w:r>
      <w:r>
        <w:rPr>
          <w:rFonts w:hint="eastAsia" w:hAnsi="Times New Roman" w:eastAsia="仿宋" w:asciiTheme="majorHAnsi"/>
          <w:sz w:val="32"/>
          <w:szCs w:val="32"/>
        </w:rPr>
        <w:t>：到2025年，全社会研发投入、高新技术企业数、科技型中小企业数、高新技术产业投资额、高新技术产业增加值、每万人拥有有效发明专利数等方面奋力实现倍增，规上工业企业R&amp;D经费支出占主营业务收入比重力争达到</w:t>
      </w:r>
      <w:r>
        <w:rPr>
          <w:rFonts w:hAnsi="Times New Roman" w:eastAsia="仿宋" w:asciiTheme="majorHAnsi"/>
          <w:sz w:val="32"/>
          <w:szCs w:val="32"/>
        </w:rPr>
        <w:t>3</w:t>
      </w:r>
      <w:r>
        <w:rPr>
          <w:rFonts w:hint="eastAsia" w:hAnsi="Times New Roman" w:eastAsia="仿宋" w:asciiTheme="majorHAnsi"/>
          <w:sz w:val="32"/>
          <w:szCs w:val="32"/>
        </w:rPr>
        <w:t>%，全社会R&amp;D经费支出占GDP比重力争达到3.6%，高新技术产业增加值占区属规上工业比重达到60%，规上企业研发机构设置率达到60%，每万名就业人员中R&amp;D人员数达190人年，技术交易额达到20亿元。</w:t>
      </w:r>
    </w:p>
    <w:p>
      <w:pPr>
        <w:adjustRightInd w:val="0"/>
        <w:snapToGrid w:val="0"/>
        <w:spacing w:before="156" w:beforeLines="50" w:after="156" w:afterLines="50" w:line="360" w:lineRule="auto"/>
        <w:jc w:val="center"/>
        <w:rPr>
          <w:rFonts w:ascii="黑体" w:hAnsi="黑体" w:eastAsia="黑体"/>
          <w:b/>
          <w:sz w:val="28"/>
          <w:szCs w:val="32"/>
        </w:rPr>
      </w:pPr>
      <w:bookmarkStart w:id="36" w:name="_Toc438414000"/>
      <w:bookmarkStart w:id="37" w:name="_Toc459378291"/>
      <w:bookmarkStart w:id="38" w:name="_Toc459378175"/>
      <w:bookmarkStart w:id="39" w:name="_Toc459376771"/>
      <w:r>
        <w:rPr>
          <w:rFonts w:hint="eastAsia" w:ascii="黑体" w:hAnsi="黑体" w:eastAsia="黑体"/>
          <w:b/>
          <w:sz w:val="28"/>
          <w:szCs w:val="32"/>
        </w:rPr>
        <w:t>表1</w:t>
      </w:r>
      <w:r>
        <w:rPr>
          <w:rFonts w:ascii="黑体" w:hAnsi="黑体" w:eastAsia="黑体"/>
          <w:b/>
          <w:sz w:val="28"/>
          <w:szCs w:val="32"/>
        </w:rPr>
        <w:t xml:space="preserve">  “十</w:t>
      </w:r>
      <w:r>
        <w:rPr>
          <w:rFonts w:hint="eastAsia" w:ascii="黑体" w:hAnsi="黑体" w:eastAsia="黑体"/>
          <w:b/>
          <w:sz w:val="28"/>
          <w:szCs w:val="32"/>
        </w:rPr>
        <w:t>四</w:t>
      </w:r>
      <w:r>
        <w:rPr>
          <w:rFonts w:ascii="黑体" w:hAnsi="黑体" w:eastAsia="黑体"/>
          <w:b/>
          <w:sz w:val="28"/>
          <w:szCs w:val="32"/>
        </w:rPr>
        <w:t>五”奉化</w:t>
      </w:r>
      <w:r>
        <w:rPr>
          <w:rFonts w:hint="eastAsia" w:ascii="黑体" w:hAnsi="黑体" w:eastAsia="黑体"/>
          <w:b/>
          <w:sz w:val="28"/>
          <w:szCs w:val="32"/>
        </w:rPr>
        <w:t>区</w:t>
      </w:r>
      <w:r>
        <w:rPr>
          <w:rFonts w:ascii="黑体" w:hAnsi="黑体" w:eastAsia="黑体"/>
          <w:b/>
          <w:sz w:val="28"/>
          <w:szCs w:val="32"/>
        </w:rPr>
        <w:t>科技创新发展</w:t>
      </w:r>
      <w:r>
        <w:rPr>
          <w:rFonts w:hint="eastAsia" w:ascii="黑体" w:hAnsi="黑体" w:eastAsia="黑体"/>
          <w:b/>
          <w:sz w:val="28"/>
          <w:szCs w:val="32"/>
        </w:rPr>
        <w:t>主要</w:t>
      </w:r>
      <w:r>
        <w:rPr>
          <w:rFonts w:ascii="黑体" w:hAnsi="黑体" w:eastAsia="黑体"/>
          <w:b/>
          <w:sz w:val="28"/>
          <w:szCs w:val="32"/>
        </w:rPr>
        <w:t>指标</w:t>
      </w:r>
      <w:bookmarkEnd w:id="36"/>
      <w:bookmarkEnd w:id="37"/>
      <w:bookmarkEnd w:id="38"/>
      <w:bookmarkEnd w:id="39"/>
      <w:bookmarkStart w:id="40" w:name="_Toc54252345"/>
      <w:bookmarkStart w:id="41" w:name="_Toc459378292"/>
      <w:bookmarkStart w:id="42" w:name="_Toc459376772"/>
      <w:bookmarkStart w:id="43" w:name="_Toc459378176"/>
      <w:bookmarkStart w:id="44" w:name="_Toc438414001"/>
      <w:bookmarkStart w:id="45" w:name="_Toc433465839"/>
    </w:p>
    <w:tbl>
      <w:tblPr>
        <w:tblStyle w:val="12"/>
        <w:tblW w:w="8371" w:type="dxa"/>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6"/>
        <w:gridCol w:w="2802"/>
        <w:gridCol w:w="648"/>
        <w:gridCol w:w="1299"/>
        <w:gridCol w:w="1219"/>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blHeader/>
        </w:trPr>
        <w:tc>
          <w:tcPr>
            <w:tcW w:w="1106" w:type="dxa"/>
            <w:vAlign w:val="center"/>
          </w:tcPr>
          <w:p>
            <w:pPr>
              <w:adjustRightInd w:val="0"/>
              <w:snapToGrid w:val="0"/>
              <w:spacing w:line="480" w:lineRule="exact"/>
              <w:jc w:val="center"/>
              <w:rPr>
                <w:rFonts w:ascii="仿宋" w:hAnsi="仿宋" w:eastAsia="仿宋" w:cs="黑体"/>
                <w:b/>
                <w:bCs/>
                <w:w w:val="95"/>
                <w:sz w:val="28"/>
                <w:szCs w:val="28"/>
              </w:rPr>
            </w:pPr>
            <w:r>
              <w:rPr>
                <w:rFonts w:hint="eastAsia" w:ascii="仿宋" w:hAnsi="仿宋" w:eastAsia="仿宋" w:cs="黑体"/>
                <w:b/>
                <w:bCs/>
                <w:w w:val="95"/>
                <w:sz w:val="28"/>
                <w:szCs w:val="28"/>
              </w:rPr>
              <w:t>类别</w:t>
            </w:r>
          </w:p>
        </w:tc>
        <w:tc>
          <w:tcPr>
            <w:tcW w:w="3450" w:type="dxa"/>
            <w:gridSpan w:val="2"/>
            <w:vAlign w:val="center"/>
          </w:tcPr>
          <w:p>
            <w:pPr>
              <w:adjustRightInd w:val="0"/>
              <w:snapToGrid w:val="0"/>
              <w:spacing w:line="480" w:lineRule="exact"/>
              <w:jc w:val="center"/>
              <w:rPr>
                <w:rFonts w:ascii="仿宋" w:hAnsi="仿宋" w:eastAsia="仿宋" w:cs="黑体"/>
                <w:b/>
                <w:bCs/>
                <w:w w:val="95"/>
                <w:sz w:val="28"/>
                <w:szCs w:val="28"/>
              </w:rPr>
            </w:pPr>
            <w:r>
              <w:rPr>
                <w:rFonts w:hint="eastAsia" w:ascii="仿宋" w:hAnsi="仿宋" w:eastAsia="仿宋" w:cs="黑体"/>
                <w:b/>
                <w:bCs/>
                <w:w w:val="95"/>
                <w:sz w:val="28"/>
                <w:szCs w:val="28"/>
              </w:rPr>
              <w:t>主要指标</w:t>
            </w:r>
          </w:p>
        </w:tc>
        <w:tc>
          <w:tcPr>
            <w:tcW w:w="1299" w:type="dxa"/>
            <w:vAlign w:val="center"/>
          </w:tcPr>
          <w:p>
            <w:pPr>
              <w:adjustRightInd w:val="0"/>
              <w:snapToGrid w:val="0"/>
              <w:jc w:val="center"/>
              <w:rPr>
                <w:rFonts w:ascii="仿宋" w:hAnsi="仿宋" w:eastAsia="仿宋" w:cs="黑体"/>
                <w:b/>
                <w:bCs/>
                <w:w w:val="95"/>
                <w:sz w:val="28"/>
                <w:szCs w:val="28"/>
              </w:rPr>
            </w:pPr>
            <w:r>
              <w:rPr>
                <w:rFonts w:hint="eastAsia" w:ascii="仿宋" w:hAnsi="仿宋" w:eastAsia="仿宋" w:cs="黑体"/>
                <w:b/>
                <w:bCs/>
                <w:w w:val="95"/>
                <w:sz w:val="28"/>
                <w:szCs w:val="28"/>
              </w:rPr>
              <w:t>2020年</w:t>
            </w:r>
          </w:p>
          <w:p>
            <w:pPr>
              <w:adjustRightInd w:val="0"/>
              <w:snapToGrid w:val="0"/>
              <w:jc w:val="center"/>
              <w:rPr>
                <w:rFonts w:ascii="仿宋" w:hAnsi="仿宋" w:eastAsia="仿宋" w:cs="黑体"/>
                <w:b/>
                <w:bCs/>
                <w:w w:val="95"/>
                <w:sz w:val="28"/>
                <w:szCs w:val="28"/>
              </w:rPr>
            </w:pPr>
            <w:r>
              <w:rPr>
                <w:rFonts w:hint="eastAsia" w:ascii="仿宋" w:hAnsi="仿宋" w:eastAsia="仿宋" w:cs="黑体"/>
                <w:b/>
                <w:bCs/>
                <w:w w:val="95"/>
                <w:sz w:val="28"/>
                <w:szCs w:val="28"/>
              </w:rPr>
              <w:t>预测</w:t>
            </w:r>
          </w:p>
        </w:tc>
        <w:tc>
          <w:tcPr>
            <w:tcW w:w="1219" w:type="dxa"/>
            <w:vAlign w:val="center"/>
          </w:tcPr>
          <w:p>
            <w:pPr>
              <w:adjustRightInd w:val="0"/>
              <w:snapToGrid w:val="0"/>
              <w:jc w:val="center"/>
              <w:rPr>
                <w:rFonts w:ascii="仿宋" w:hAnsi="仿宋" w:eastAsia="仿宋" w:cs="黑体"/>
                <w:b/>
                <w:bCs/>
                <w:w w:val="95"/>
                <w:sz w:val="28"/>
                <w:szCs w:val="28"/>
              </w:rPr>
            </w:pPr>
            <w:r>
              <w:rPr>
                <w:rFonts w:hint="eastAsia" w:ascii="仿宋" w:hAnsi="仿宋" w:eastAsia="仿宋" w:cs="黑体"/>
                <w:b/>
                <w:bCs/>
                <w:w w:val="95"/>
                <w:sz w:val="28"/>
                <w:szCs w:val="28"/>
              </w:rPr>
              <w:t>2021年</w:t>
            </w:r>
          </w:p>
          <w:p>
            <w:pPr>
              <w:adjustRightInd w:val="0"/>
              <w:snapToGrid w:val="0"/>
              <w:jc w:val="center"/>
              <w:rPr>
                <w:rFonts w:ascii="仿宋" w:hAnsi="仿宋" w:eastAsia="仿宋" w:cs="黑体"/>
                <w:b/>
                <w:bCs/>
                <w:w w:val="95"/>
                <w:sz w:val="28"/>
                <w:szCs w:val="28"/>
              </w:rPr>
            </w:pPr>
            <w:r>
              <w:rPr>
                <w:rFonts w:hint="eastAsia" w:ascii="仿宋" w:hAnsi="仿宋" w:eastAsia="仿宋" w:cs="黑体"/>
                <w:b/>
                <w:bCs/>
                <w:w w:val="95"/>
                <w:sz w:val="28"/>
                <w:szCs w:val="28"/>
              </w:rPr>
              <w:t>目标</w:t>
            </w:r>
          </w:p>
        </w:tc>
        <w:tc>
          <w:tcPr>
            <w:tcW w:w="1297" w:type="dxa"/>
            <w:vAlign w:val="center"/>
          </w:tcPr>
          <w:p>
            <w:pPr>
              <w:adjustRightInd w:val="0"/>
              <w:snapToGrid w:val="0"/>
              <w:jc w:val="center"/>
              <w:rPr>
                <w:rFonts w:ascii="仿宋" w:hAnsi="仿宋" w:eastAsia="仿宋" w:cs="黑体"/>
                <w:b/>
                <w:bCs/>
                <w:w w:val="95"/>
                <w:sz w:val="28"/>
                <w:szCs w:val="28"/>
              </w:rPr>
            </w:pPr>
            <w:r>
              <w:rPr>
                <w:rFonts w:hint="eastAsia" w:ascii="仿宋" w:hAnsi="仿宋" w:eastAsia="仿宋" w:cs="黑体"/>
                <w:b/>
                <w:bCs/>
                <w:w w:val="95"/>
                <w:sz w:val="28"/>
                <w:szCs w:val="28"/>
              </w:rPr>
              <w:t>2025年</w:t>
            </w:r>
          </w:p>
          <w:p>
            <w:pPr>
              <w:adjustRightInd w:val="0"/>
              <w:snapToGrid w:val="0"/>
              <w:jc w:val="center"/>
              <w:rPr>
                <w:rFonts w:ascii="仿宋" w:hAnsi="仿宋" w:eastAsia="仿宋" w:cs="黑体"/>
                <w:b/>
                <w:bCs/>
                <w:w w:val="95"/>
                <w:sz w:val="28"/>
                <w:szCs w:val="28"/>
              </w:rPr>
            </w:pPr>
            <w:r>
              <w:rPr>
                <w:rFonts w:hint="eastAsia" w:ascii="仿宋" w:hAnsi="仿宋" w:eastAsia="仿宋" w:cs="黑体"/>
                <w:b/>
                <w:bCs/>
                <w:w w:val="95"/>
                <w:sz w:val="28"/>
                <w:szCs w:val="28"/>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06" w:type="dxa"/>
            <w:vMerge w:val="restart"/>
            <w:vAlign w:val="center"/>
          </w:tcPr>
          <w:p>
            <w:pPr>
              <w:adjustRightInd w:val="0"/>
              <w:snapToGrid w:val="0"/>
              <w:spacing w:line="480" w:lineRule="exact"/>
              <w:jc w:val="center"/>
              <w:rPr>
                <w:rFonts w:ascii="仿宋" w:hAnsi="仿宋" w:eastAsia="仿宋" w:cs="黑体"/>
                <w:w w:val="95"/>
                <w:sz w:val="24"/>
                <w:szCs w:val="24"/>
              </w:rPr>
            </w:pPr>
            <w:r>
              <w:rPr>
                <w:rFonts w:hint="eastAsia" w:ascii="仿宋" w:hAnsi="仿宋" w:eastAsia="仿宋" w:cs="黑体"/>
                <w:w w:val="95"/>
                <w:sz w:val="24"/>
                <w:szCs w:val="24"/>
              </w:rPr>
              <w:t>六倍增指标</w:t>
            </w:r>
          </w:p>
        </w:tc>
        <w:tc>
          <w:tcPr>
            <w:tcW w:w="3450" w:type="dxa"/>
            <w:gridSpan w:val="2"/>
            <w:vAlign w:val="center"/>
          </w:tcPr>
          <w:p>
            <w:pPr>
              <w:adjustRightInd w:val="0"/>
              <w:snapToGrid w:val="0"/>
              <w:spacing w:line="480" w:lineRule="exact"/>
              <w:jc w:val="center"/>
              <w:rPr>
                <w:rFonts w:ascii="仿宋" w:hAnsi="仿宋" w:eastAsia="仿宋" w:cs="黑体"/>
                <w:w w:val="95"/>
                <w:sz w:val="24"/>
                <w:szCs w:val="24"/>
              </w:rPr>
            </w:pPr>
            <w:r>
              <w:rPr>
                <w:rFonts w:hint="eastAsia" w:ascii="仿宋" w:hAnsi="仿宋" w:eastAsia="仿宋" w:cs="黑体"/>
                <w:w w:val="95"/>
                <w:sz w:val="24"/>
                <w:szCs w:val="24"/>
              </w:rPr>
              <w:t>全社会研发投入（亿元）</w:t>
            </w:r>
          </w:p>
        </w:tc>
        <w:tc>
          <w:tcPr>
            <w:tcW w:w="1299" w:type="dxa"/>
            <w:vAlign w:val="center"/>
          </w:tcPr>
          <w:p>
            <w:pPr>
              <w:adjustRightInd w:val="0"/>
              <w:snapToGrid w:val="0"/>
              <w:spacing w:line="480" w:lineRule="exact"/>
              <w:jc w:val="center"/>
              <w:rPr>
                <w:rFonts w:ascii="仿宋" w:hAnsi="仿宋" w:eastAsia="仿宋" w:cs="仿宋_GB2312"/>
                <w:b/>
                <w:bCs/>
                <w:sz w:val="24"/>
                <w:szCs w:val="24"/>
              </w:rPr>
            </w:pPr>
            <w:r>
              <w:rPr>
                <w:rFonts w:hint="eastAsia" w:ascii="仿宋" w:hAnsi="仿宋" w:eastAsia="仿宋" w:cs="仿宋_GB2312"/>
                <w:sz w:val="24"/>
                <w:szCs w:val="24"/>
              </w:rPr>
              <w:t>15.6</w:t>
            </w:r>
          </w:p>
        </w:tc>
        <w:tc>
          <w:tcPr>
            <w:tcW w:w="1219" w:type="dxa"/>
            <w:vAlign w:val="center"/>
          </w:tcPr>
          <w:p>
            <w:pPr>
              <w:adjustRightInd w:val="0"/>
              <w:snapToGrid w:val="0"/>
              <w:spacing w:line="480" w:lineRule="exact"/>
              <w:jc w:val="center"/>
              <w:rPr>
                <w:rFonts w:ascii="仿宋" w:hAnsi="仿宋" w:eastAsia="仿宋" w:cs="仿宋_GB2312"/>
                <w:sz w:val="24"/>
                <w:szCs w:val="24"/>
              </w:rPr>
            </w:pPr>
            <w:r>
              <w:rPr>
                <w:rFonts w:hint="eastAsia" w:ascii="仿宋" w:hAnsi="仿宋" w:eastAsia="仿宋" w:cs="仿宋_GB2312"/>
                <w:sz w:val="24"/>
                <w:szCs w:val="24"/>
              </w:rPr>
              <w:t>18</w:t>
            </w:r>
          </w:p>
        </w:tc>
        <w:tc>
          <w:tcPr>
            <w:tcW w:w="1297" w:type="dxa"/>
            <w:vAlign w:val="center"/>
          </w:tcPr>
          <w:p>
            <w:pPr>
              <w:adjustRightInd w:val="0"/>
              <w:snapToGrid w:val="0"/>
              <w:spacing w:line="480" w:lineRule="exact"/>
              <w:jc w:val="center"/>
              <w:rPr>
                <w:rFonts w:ascii="仿宋" w:hAnsi="仿宋" w:eastAsia="仿宋" w:cs="仿宋_GB2312"/>
                <w:b/>
                <w:bCs/>
                <w:sz w:val="24"/>
                <w:szCs w:val="24"/>
              </w:rPr>
            </w:pPr>
            <w:r>
              <w:rPr>
                <w:rFonts w:hint="eastAsia" w:ascii="仿宋" w:hAnsi="仿宋" w:eastAsia="仿宋" w:cs="仿宋_GB2312"/>
                <w:sz w:val="24"/>
                <w:szCs w:val="24"/>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106" w:type="dxa"/>
            <w:vMerge w:val="continue"/>
            <w:vAlign w:val="center"/>
          </w:tcPr>
          <w:p>
            <w:pPr>
              <w:adjustRightInd w:val="0"/>
              <w:snapToGrid w:val="0"/>
              <w:spacing w:line="480" w:lineRule="exact"/>
              <w:jc w:val="center"/>
              <w:rPr>
                <w:rFonts w:ascii="仿宋" w:hAnsi="仿宋" w:eastAsia="仿宋" w:cs="黑体"/>
                <w:w w:val="95"/>
                <w:sz w:val="24"/>
                <w:szCs w:val="24"/>
              </w:rPr>
            </w:pPr>
          </w:p>
        </w:tc>
        <w:tc>
          <w:tcPr>
            <w:tcW w:w="3450" w:type="dxa"/>
            <w:gridSpan w:val="2"/>
            <w:vAlign w:val="center"/>
          </w:tcPr>
          <w:p>
            <w:pPr>
              <w:adjustRightInd w:val="0"/>
              <w:snapToGrid w:val="0"/>
              <w:spacing w:line="480" w:lineRule="exact"/>
              <w:jc w:val="center"/>
              <w:rPr>
                <w:rFonts w:ascii="仿宋" w:hAnsi="仿宋" w:eastAsia="仿宋" w:cs="黑体"/>
                <w:w w:val="95"/>
                <w:sz w:val="24"/>
                <w:szCs w:val="24"/>
              </w:rPr>
            </w:pPr>
            <w:r>
              <w:rPr>
                <w:rFonts w:hint="eastAsia" w:ascii="仿宋" w:hAnsi="仿宋" w:eastAsia="仿宋" w:cs="黑体"/>
                <w:w w:val="95"/>
                <w:sz w:val="24"/>
                <w:szCs w:val="24"/>
              </w:rPr>
              <w:t>高新技术企业（家，累计）</w:t>
            </w:r>
          </w:p>
        </w:tc>
        <w:tc>
          <w:tcPr>
            <w:tcW w:w="1299" w:type="dxa"/>
            <w:vAlign w:val="center"/>
          </w:tcPr>
          <w:p>
            <w:pPr>
              <w:adjustRightInd w:val="0"/>
              <w:snapToGrid w:val="0"/>
              <w:spacing w:line="480" w:lineRule="exact"/>
              <w:jc w:val="center"/>
              <w:rPr>
                <w:rFonts w:ascii="仿宋" w:hAnsi="仿宋" w:eastAsia="仿宋" w:cs="仿宋_GB2312"/>
                <w:b/>
                <w:bCs/>
                <w:sz w:val="24"/>
                <w:szCs w:val="24"/>
              </w:rPr>
            </w:pPr>
            <w:r>
              <w:rPr>
                <w:rFonts w:hint="eastAsia" w:ascii="仿宋" w:hAnsi="仿宋" w:eastAsia="仿宋" w:cs="仿宋_GB2312"/>
                <w:sz w:val="24"/>
                <w:szCs w:val="24"/>
              </w:rPr>
              <w:t>180</w:t>
            </w:r>
          </w:p>
        </w:tc>
        <w:tc>
          <w:tcPr>
            <w:tcW w:w="1219" w:type="dxa"/>
            <w:vAlign w:val="center"/>
          </w:tcPr>
          <w:p>
            <w:pPr>
              <w:adjustRightInd w:val="0"/>
              <w:snapToGrid w:val="0"/>
              <w:spacing w:line="480" w:lineRule="exact"/>
              <w:jc w:val="center"/>
              <w:rPr>
                <w:rFonts w:ascii="仿宋" w:hAnsi="仿宋" w:eastAsia="仿宋" w:cs="仿宋_GB2312"/>
                <w:sz w:val="24"/>
                <w:szCs w:val="24"/>
              </w:rPr>
            </w:pPr>
            <w:r>
              <w:rPr>
                <w:rFonts w:hint="eastAsia" w:ascii="仿宋" w:hAnsi="仿宋" w:eastAsia="仿宋" w:cs="仿宋_GB2312"/>
                <w:sz w:val="24"/>
                <w:szCs w:val="24"/>
              </w:rPr>
              <w:t>215</w:t>
            </w:r>
          </w:p>
        </w:tc>
        <w:tc>
          <w:tcPr>
            <w:tcW w:w="1297" w:type="dxa"/>
            <w:vAlign w:val="center"/>
          </w:tcPr>
          <w:p>
            <w:pPr>
              <w:adjustRightInd w:val="0"/>
              <w:snapToGrid w:val="0"/>
              <w:spacing w:line="480" w:lineRule="exact"/>
              <w:jc w:val="center"/>
              <w:rPr>
                <w:rFonts w:ascii="仿宋" w:hAnsi="仿宋" w:eastAsia="仿宋" w:cs="仿宋_GB2312"/>
                <w:b/>
                <w:bCs/>
                <w:sz w:val="24"/>
                <w:szCs w:val="24"/>
              </w:rPr>
            </w:pPr>
            <w:r>
              <w:rPr>
                <w:rFonts w:hint="eastAsia" w:ascii="仿宋" w:hAnsi="仿宋" w:eastAsia="仿宋" w:cs="仿宋_GB2312"/>
                <w:sz w:val="24"/>
                <w:szCs w:val="24"/>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Merge w:val="continue"/>
            <w:vAlign w:val="center"/>
          </w:tcPr>
          <w:p>
            <w:pPr>
              <w:adjustRightInd w:val="0"/>
              <w:snapToGrid w:val="0"/>
              <w:spacing w:line="400" w:lineRule="exact"/>
              <w:jc w:val="center"/>
              <w:rPr>
                <w:rFonts w:ascii="仿宋" w:hAnsi="仿宋" w:eastAsia="仿宋" w:cs="黑体"/>
                <w:w w:val="95"/>
                <w:sz w:val="24"/>
                <w:szCs w:val="24"/>
              </w:rPr>
            </w:pPr>
          </w:p>
        </w:tc>
        <w:tc>
          <w:tcPr>
            <w:tcW w:w="3450" w:type="dxa"/>
            <w:gridSpan w:val="2"/>
            <w:vAlign w:val="center"/>
          </w:tcPr>
          <w:p>
            <w:pPr>
              <w:adjustRightInd w:val="0"/>
              <w:snapToGrid w:val="0"/>
              <w:spacing w:line="400" w:lineRule="exact"/>
              <w:jc w:val="center"/>
              <w:rPr>
                <w:rFonts w:ascii="仿宋" w:hAnsi="仿宋" w:eastAsia="仿宋" w:cs="黑体"/>
                <w:w w:val="95"/>
                <w:sz w:val="24"/>
                <w:szCs w:val="24"/>
              </w:rPr>
            </w:pPr>
            <w:r>
              <w:rPr>
                <w:rFonts w:hint="eastAsia" w:ascii="仿宋" w:hAnsi="仿宋" w:eastAsia="仿宋" w:cs="黑体"/>
                <w:w w:val="95"/>
                <w:sz w:val="24"/>
                <w:szCs w:val="24"/>
              </w:rPr>
              <w:t>科技型中小企业（家，累计）</w:t>
            </w:r>
          </w:p>
        </w:tc>
        <w:tc>
          <w:tcPr>
            <w:tcW w:w="1299" w:type="dxa"/>
            <w:vAlign w:val="center"/>
          </w:tcPr>
          <w:p>
            <w:pPr>
              <w:adjustRightInd w:val="0"/>
              <w:snapToGrid w:val="0"/>
              <w:spacing w:line="400" w:lineRule="exact"/>
              <w:jc w:val="center"/>
              <w:rPr>
                <w:rFonts w:ascii="仿宋" w:hAnsi="仿宋" w:eastAsia="仿宋" w:cs="仿宋_GB2312"/>
                <w:b/>
                <w:bCs/>
                <w:sz w:val="24"/>
                <w:szCs w:val="24"/>
              </w:rPr>
            </w:pPr>
            <w:r>
              <w:rPr>
                <w:rFonts w:hint="eastAsia" w:ascii="仿宋" w:hAnsi="仿宋" w:eastAsia="仿宋" w:cs="仿宋_GB2312"/>
                <w:sz w:val="24"/>
                <w:szCs w:val="24"/>
              </w:rPr>
              <w:t>1175</w:t>
            </w:r>
          </w:p>
        </w:tc>
        <w:tc>
          <w:tcPr>
            <w:tcW w:w="1219" w:type="dxa"/>
            <w:vAlign w:val="center"/>
          </w:tcPr>
          <w:p>
            <w:pPr>
              <w:adjustRightInd w:val="0"/>
              <w:snapToGrid w:val="0"/>
              <w:spacing w:line="480" w:lineRule="exact"/>
              <w:jc w:val="center"/>
              <w:rPr>
                <w:rFonts w:ascii="仿宋" w:hAnsi="仿宋" w:eastAsia="仿宋" w:cs="仿宋_GB2312"/>
                <w:sz w:val="24"/>
                <w:szCs w:val="24"/>
              </w:rPr>
            </w:pPr>
            <w:r>
              <w:rPr>
                <w:rFonts w:hint="eastAsia" w:ascii="仿宋" w:hAnsi="仿宋" w:eastAsia="仿宋" w:cs="仿宋_GB2312"/>
                <w:sz w:val="24"/>
                <w:szCs w:val="24"/>
              </w:rPr>
              <w:t>1400</w:t>
            </w:r>
          </w:p>
        </w:tc>
        <w:tc>
          <w:tcPr>
            <w:tcW w:w="1297" w:type="dxa"/>
            <w:vAlign w:val="center"/>
          </w:tcPr>
          <w:p>
            <w:pPr>
              <w:adjustRightInd w:val="0"/>
              <w:snapToGrid w:val="0"/>
              <w:spacing w:line="400" w:lineRule="exact"/>
              <w:jc w:val="center"/>
              <w:rPr>
                <w:rFonts w:ascii="仿宋" w:hAnsi="仿宋" w:eastAsia="仿宋" w:cs="仿宋_GB2312"/>
                <w:b/>
                <w:bCs/>
                <w:sz w:val="24"/>
                <w:szCs w:val="24"/>
              </w:rPr>
            </w:pPr>
            <w:r>
              <w:rPr>
                <w:rFonts w:hint="eastAsia" w:ascii="仿宋" w:hAnsi="仿宋" w:eastAsia="仿宋" w:cs="仿宋_GB2312"/>
                <w:sz w:val="24"/>
                <w:szCs w:val="24"/>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Merge w:val="continue"/>
            <w:vAlign w:val="center"/>
          </w:tcPr>
          <w:p>
            <w:pPr>
              <w:adjustRightInd w:val="0"/>
              <w:snapToGrid w:val="0"/>
              <w:spacing w:line="400" w:lineRule="exact"/>
              <w:jc w:val="center"/>
              <w:rPr>
                <w:rFonts w:ascii="仿宋" w:hAnsi="仿宋" w:eastAsia="仿宋" w:cs="黑体"/>
                <w:w w:val="95"/>
                <w:sz w:val="24"/>
                <w:szCs w:val="24"/>
              </w:rPr>
            </w:pPr>
          </w:p>
        </w:tc>
        <w:tc>
          <w:tcPr>
            <w:tcW w:w="3450" w:type="dxa"/>
            <w:gridSpan w:val="2"/>
            <w:vAlign w:val="center"/>
          </w:tcPr>
          <w:p>
            <w:pPr>
              <w:adjustRightInd w:val="0"/>
              <w:snapToGrid w:val="0"/>
              <w:spacing w:line="400" w:lineRule="exact"/>
              <w:jc w:val="center"/>
              <w:rPr>
                <w:rFonts w:ascii="仿宋" w:hAnsi="仿宋" w:eastAsia="仿宋" w:cs="黑体"/>
                <w:w w:val="95"/>
                <w:sz w:val="24"/>
                <w:szCs w:val="24"/>
              </w:rPr>
            </w:pPr>
            <w:r>
              <w:rPr>
                <w:rFonts w:hint="eastAsia" w:ascii="仿宋" w:hAnsi="仿宋" w:eastAsia="仿宋" w:cs="黑体"/>
                <w:w w:val="95"/>
                <w:sz w:val="24"/>
                <w:szCs w:val="24"/>
              </w:rPr>
              <w:t>高新技术产业投资额（亿元）</w:t>
            </w:r>
          </w:p>
        </w:tc>
        <w:tc>
          <w:tcPr>
            <w:tcW w:w="1299" w:type="dxa"/>
            <w:vAlign w:val="center"/>
          </w:tcPr>
          <w:p>
            <w:pPr>
              <w:adjustRightInd w:val="0"/>
              <w:snapToGrid w:val="0"/>
              <w:spacing w:line="400" w:lineRule="exact"/>
              <w:jc w:val="center"/>
              <w:rPr>
                <w:rFonts w:ascii="仿宋" w:hAnsi="仿宋" w:eastAsia="仿宋" w:cs="仿宋_GB2312"/>
                <w:b/>
                <w:bCs/>
                <w:sz w:val="24"/>
                <w:szCs w:val="24"/>
              </w:rPr>
            </w:pPr>
            <w:r>
              <w:rPr>
                <w:rFonts w:hint="eastAsia" w:ascii="仿宋" w:hAnsi="仿宋" w:eastAsia="仿宋" w:cs="仿宋_GB2312"/>
                <w:sz w:val="24"/>
                <w:szCs w:val="24"/>
              </w:rPr>
              <w:t>19</w:t>
            </w:r>
          </w:p>
        </w:tc>
        <w:tc>
          <w:tcPr>
            <w:tcW w:w="1219" w:type="dxa"/>
            <w:vAlign w:val="center"/>
          </w:tcPr>
          <w:p>
            <w:pPr>
              <w:adjustRightInd w:val="0"/>
              <w:snapToGrid w:val="0"/>
              <w:spacing w:line="480" w:lineRule="exact"/>
              <w:jc w:val="center"/>
              <w:rPr>
                <w:rFonts w:ascii="仿宋" w:hAnsi="仿宋" w:eastAsia="仿宋" w:cs="仿宋_GB2312"/>
                <w:sz w:val="24"/>
                <w:szCs w:val="24"/>
              </w:rPr>
            </w:pPr>
            <w:r>
              <w:rPr>
                <w:rFonts w:hint="eastAsia" w:ascii="仿宋" w:hAnsi="仿宋" w:eastAsia="仿宋" w:cs="仿宋_GB2312"/>
                <w:sz w:val="24"/>
                <w:szCs w:val="24"/>
              </w:rPr>
              <w:t>24</w:t>
            </w:r>
          </w:p>
        </w:tc>
        <w:tc>
          <w:tcPr>
            <w:tcW w:w="1297" w:type="dxa"/>
            <w:vAlign w:val="center"/>
          </w:tcPr>
          <w:p>
            <w:pPr>
              <w:adjustRightInd w:val="0"/>
              <w:snapToGrid w:val="0"/>
              <w:spacing w:line="400" w:lineRule="exact"/>
              <w:jc w:val="center"/>
              <w:rPr>
                <w:rFonts w:ascii="仿宋" w:hAnsi="仿宋" w:eastAsia="仿宋" w:cs="仿宋_GB2312"/>
                <w:b/>
                <w:bCs/>
                <w:sz w:val="24"/>
                <w:szCs w:val="24"/>
              </w:rPr>
            </w:pPr>
            <w:r>
              <w:rPr>
                <w:rFonts w:hint="eastAsia" w:ascii="仿宋" w:hAnsi="仿宋" w:eastAsia="仿宋" w:cs="仿宋_GB2312"/>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Merge w:val="continue"/>
            <w:vAlign w:val="center"/>
          </w:tcPr>
          <w:p>
            <w:pPr>
              <w:adjustRightInd w:val="0"/>
              <w:snapToGrid w:val="0"/>
              <w:spacing w:line="380" w:lineRule="exact"/>
              <w:jc w:val="center"/>
              <w:rPr>
                <w:rFonts w:ascii="仿宋" w:hAnsi="仿宋" w:eastAsia="仿宋" w:cs="黑体"/>
                <w:w w:val="95"/>
                <w:sz w:val="24"/>
                <w:szCs w:val="24"/>
              </w:rPr>
            </w:pPr>
          </w:p>
        </w:tc>
        <w:tc>
          <w:tcPr>
            <w:tcW w:w="3450" w:type="dxa"/>
            <w:gridSpan w:val="2"/>
            <w:vAlign w:val="center"/>
          </w:tcPr>
          <w:p>
            <w:pPr>
              <w:adjustRightInd w:val="0"/>
              <w:snapToGrid w:val="0"/>
              <w:spacing w:line="380" w:lineRule="exact"/>
              <w:jc w:val="center"/>
              <w:rPr>
                <w:rFonts w:ascii="仿宋" w:hAnsi="仿宋" w:eastAsia="仿宋" w:cs="黑体"/>
                <w:w w:val="95"/>
                <w:sz w:val="24"/>
                <w:szCs w:val="24"/>
              </w:rPr>
            </w:pPr>
            <w:r>
              <w:rPr>
                <w:rFonts w:hint="eastAsia" w:ascii="仿宋" w:hAnsi="仿宋" w:eastAsia="仿宋" w:cs="黑体"/>
                <w:w w:val="95"/>
                <w:sz w:val="24"/>
                <w:szCs w:val="24"/>
              </w:rPr>
              <w:t>高新技术产业增加值（亿元）</w:t>
            </w:r>
          </w:p>
        </w:tc>
        <w:tc>
          <w:tcPr>
            <w:tcW w:w="1299" w:type="dxa"/>
            <w:vAlign w:val="center"/>
          </w:tcPr>
          <w:p>
            <w:pPr>
              <w:adjustRightInd w:val="0"/>
              <w:snapToGrid w:val="0"/>
              <w:spacing w:line="480" w:lineRule="exact"/>
              <w:jc w:val="center"/>
              <w:rPr>
                <w:rFonts w:ascii="仿宋" w:hAnsi="仿宋" w:eastAsia="仿宋" w:cs="仿宋_GB2312"/>
                <w:b/>
                <w:bCs/>
                <w:sz w:val="24"/>
                <w:szCs w:val="24"/>
              </w:rPr>
            </w:pPr>
            <w:r>
              <w:rPr>
                <w:rFonts w:hint="eastAsia" w:ascii="仿宋" w:hAnsi="仿宋" w:eastAsia="仿宋" w:cs="仿宋_GB2312"/>
                <w:sz w:val="24"/>
                <w:szCs w:val="24"/>
              </w:rPr>
              <w:t>69</w:t>
            </w:r>
          </w:p>
        </w:tc>
        <w:tc>
          <w:tcPr>
            <w:tcW w:w="1219" w:type="dxa"/>
            <w:vAlign w:val="center"/>
          </w:tcPr>
          <w:p>
            <w:pPr>
              <w:adjustRightInd w:val="0"/>
              <w:snapToGrid w:val="0"/>
              <w:spacing w:line="480" w:lineRule="exact"/>
              <w:jc w:val="center"/>
              <w:rPr>
                <w:rFonts w:ascii="仿宋" w:hAnsi="仿宋" w:eastAsia="仿宋" w:cs="仿宋_GB2312"/>
                <w:sz w:val="24"/>
                <w:szCs w:val="24"/>
              </w:rPr>
            </w:pPr>
            <w:r>
              <w:rPr>
                <w:rFonts w:hint="eastAsia" w:ascii="仿宋" w:hAnsi="仿宋" w:eastAsia="仿宋" w:cs="仿宋_GB2312"/>
                <w:sz w:val="24"/>
                <w:szCs w:val="24"/>
              </w:rPr>
              <w:t>82</w:t>
            </w:r>
          </w:p>
        </w:tc>
        <w:tc>
          <w:tcPr>
            <w:tcW w:w="1297" w:type="dxa"/>
            <w:vAlign w:val="center"/>
          </w:tcPr>
          <w:p>
            <w:pPr>
              <w:adjustRightInd w:val="0"/>
              <w:snapToGrid w:val="0"/>
              <w:spacing w:line="480" w:lineRule="exact"/>
              <w:jc w:val="center"/>
              <w:rPr>
                <w:rFonts w:ascii="仿宋" w:hAnsi="仿宋" w:eastAsia="仿宋" w:cs="仿宋_GB2312"/>
                <w:b/>
                <w:bCs/>
                <w:sz w:val="24"/>
                <w:szCs w:val="24"/>
              </w:rPr>
            </w:pPr>
            <w:r>
              <w:rPr>
                <w:rFonts w:hint="eastAsia" w:ascii="仿宋" w:hAnsi="仿宋" w:eastAsia="仿宋" w:cs="仿宋_GB2312"/>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Merge w:val="continue"/>
            <w:vAlign w:val="center"/>
          </w:tcPr>
          <w:p>
            <w:pPr>
              <w:adjustRightInd w:val="0"/>
              <w:snapToGrid w:val="0"/>
              <w:spacing w:line="280" w:lineRule="exact"/>
              <w:jc w:val="center"/>
              <w:rPr>
                <w:rFonts w:ascii="仿宋" w:hAnsi="仿宋" w:eastAsia="仿宋" w:cs="黑体"/>
                <w:w w:val="95"/>
                <w:sz w:val="24"/>
                <w:szCs w:val="24"/>
              </w:rPr>
            </w:pPr>
          </w:p>
        </w:tc>
        <w:tc>
          <w:tcPr>
            <w:tcW w:w="3450" w:type="dxa"/>
            <w:gridSpan w:val="2"/>
            <w:vAlign w:val="center"/>
          </w:tcPr>
          <w:p>
            <w:pPr>
              <w:adjustRightInd w:val="0"/>
              <w:snapToGrid w:val="0"/>
              <w:spacing w:line="280" w:lineRule="exact"/>
              <w:jc w:val="center"/>
              <w:rPr>
                <w:rFonts w:ascii="仿宋" w:hAnsi="仿宋" w:eastAsia="仿宋" w:cs="黑体"/>
                <w:w w:val="95"/>
                <w:sz w:val="24"/>
                <w:szCs w:val="24"/>
              </w:rPr>
            </w:pPr>
            <w:r>
              <w:rPr>
                <w:rFonts w:hint="eastAsia" w:ascii="仿宋" w:hAnsi="仿宋" w:eastAsia="仿宋" w:cs="黑体"/>
                <w:w w:val="95"/>
                <w:sz w:val="24"/>
                <w:szCs w:val="24"/>
              </w:rPr>
              <w:t>每万人拥有有效发明专利</w:t>
            </w:r>
          </w:p>
          <w:p>
            <w:pPr>
              <w:adjustRightInd w:val="0"/>
              <w:snapToGrid w:val="0"/>
              <w:spacing w:line="280" w:lineRule="exact"/>
              <w:jc w:val="center"/>
              <w:rPr>
                <w:rFonts w:ascii="仿宋" w:hAnsi="仿宋" w:eastAsia="仿宋" w:cs="黑体"/>
                <w:w w:val="95"/>
                <w:sz w:val="24"/>
                <w:szCs w:val="24"/>
              </w:rPr>
            </w:pPr>
            <w:r>
              <w:rPr>
                <w:rFonts w:hint="eastAsia" w:ascii="仿宋" w:hAnsi="仿宋" w:eastAsia="仿宋" w:cs="黑体"/>
                <w:w w:val="95"/>
                <w:sz w:val="24"/>
                <w:szCs w:val="24"/>
              </w:rPr>
              <w:t>数（件/万人）</w:t>
            </w:r>
          </w:p>
        </w:tc>
        <w:tc>
          <w:tcPr>
            <w:tcW w:w="1299" w:type="dxa"/>
            <w:vAlign w:val="center"/>
          </w:tcPr>
          <w:p>
            <w:pPr>
              <w:adjustRightInd w:val="0"/>
              <w:snapToGrid w:val="0"/>
              <w:spacing w:line="280" w:lineRule="exact"/>
              <w:jc w:val="center"/>
              <w:rPr>
                <w:rFonts w:ascii="仿宋" w:hAnsi="仿宋" w:eastAsia="仿宋" w:cs="仿宋_GB2312"/>
                <w:b/>
                <w:bCs/>
                <w:sz w:val="24"/>
                <w:szCs w:val="24"/>
              </w:rPr>
            </w:pPr>
            <w:r>
              <w:rPr>
                <w:rFonts w:hint="eastAsia" w:ascii="仿宋" w:hAnsi="仿宋" w:eastAsia="仿宋" w:cs="仿宋_GB2312"/>
                <w:sz w:val="24"/>
                <w:szCs w:val="24"/>
              </w:rPr>
              <w:t>19</w:t>
            </w:r>
          </w:p>
        </w:tc>
        <w:tc>
          <w:tcPr>
            <w:tcW w:w="1219" w:type="dxa"/>
            <w:vAlign w:val="center"/>
          </w:tcPr>
          <w:p>
            <w:pPr>
              <w:adjustRightInd w:val="0"/>
              <w:snapToGrid w:val="0"/>
              <w:spacing w:line="480" w:lineRule="exact"/>
              <w:jc w:val="center"/>
              <w:rPr>
                <w:rFonts w:ascii="仿宋" w:hAnsi="仿宋" w:eastAsia="仿宋" w:cs="仿宋_GB2312"/>
                <w:sz w:val="24"/>
                <w:szCs w:val="24"/>
              </w:rPr>
            </w:pPr>
            <w:r>
              <w:rPr>
                <w:rFonts w:hint="eastAsia" w:ascii="仿宋" w:hAnsi="仿宋" w:eastAsia="仿宋" w:cs="仿宋_GB2312"/>
                <w:sz w:val="24"/>
                <w:szCs w:val="24"/>
              </w:rPr>
              <w:t>22</w:t>
            </w:r>
          </w:p>
        </w:tc>
        <w:tc>
          <w:tcPr>
            <w:tcW w:w="1297" w:type="dxa"/>
            <w:vAlign w:val="center"/>
          </w:tcPr>
          <w:p>
            <w:pPr>
              <w:adjustRightInd w:val="0"/>
              <w:snapToGrid w:val="0"/>
              <w:spacing w:line="280" w:lineRule="exact"/>
              <w:jc w:val="center"/>
              <w:rPr>
                <w:rFonts w:ascii="仿宋" w:hAnsi="仿宋" w:eastAsia="仿宋" w:cs="仿宋_GB2312"/>
                <w:b/>
                <w:bCs/>
                <w:sz w:val="24"/>
                <w:szCs w:val="24"/>
              </w:rPr>
            </w:pPr>
            <w:r>
              <w:rPr>
                <w:rFonts w:hint="eastAsia" w:ascii="仿宋" w:hAnsi="仿宋" w:eastAsia="仿宋" w:cs="仿宋_GB2312"/>
                <w:sz w:val="24"/>
                <w:szCs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106" w:type="dxa"/>
            <w:vMerge w:val="restart"/>
            <w:vAlign w:val="center"/>
          </w:tcPr>
          <w:p>
            <w:pPr>
              <w:adjustRightInd w:val="0"/>
              <w:snapToGrid w:val="0"/>
              <w:spacing w:line="280" w:lineRule="exact"/>
              <w:jc w:val="center"/>
              <w:rPr>
                <w:rFonts w:ascii="仿宋" w:hAnsi="仿宋" w:eastAsia="仿宋" w:cs="黑体"/>
                <w:w w:val="95"/>
                <w:sz w:val="24"/>
                <w:szCs w:val="24"/>
              </w:rPr>
            </w:pPr>
            <w:r>
              <w:rPr>
                <w:rFonts w:hint="eastAsia" w:ascii="仿宋" w:hAnsi="仿宋" w:eastAsia="仿宋" w:cs="黑体"/>
                <w:w w:val="95"/>
                <w:sz w:val="24"/>
                <w:szCs w:val="24"/>
              </w:rPr>
              <w:t>六提升指标</w:t>
            </w:r>
          </w:p>
        </w:tc>
        <w:tc>
          <w:tcPr>
            <w:tcW w:w="3450" w:type="dxa"/>
            <w:gridSpan w:val="2"/>
            <w:vAlign w:val="center"/>
          </w:tcPr>
          <w:p>
            <w:pPr>
              <w:adjustRightInd w:val="0"/>
              <w:snapToGrid w:val="0"/>
              <w:spacing w:line="280" w:lineRule="exact"/>
              <w:jc w:val="center"/>
              <w:rPr>
                <w:rFonts w:ascii="仿宋" w:hAnsi="仿宋" w:eastAsia="仿宋" w:cs="黑体"/>
                <w:w w:val="95"/>
                <w:sz w:val="24"/>
                <w:szCs w:val="24"/>
              </w:rPr>
            </w:pPr>
            <w:r>
              <w:rPr>
                <w:rFonts w:hint="eastAsia" w:ascii="仿宋" w:hAnsi="仿宋" w:eastAsia="仿宋" w:cs="黑体"/>
                <w:w w:val="95"/>
                <w:sz w:val="24"/>
                <w:szCs w:val="24"/>
              </w:rPr>
              <w:t>规上工业企业R&amp;D经费支出</w:t>
            </w:r>
          </w:p>
          <w:p>
            <w:pPr>
              <w:adjustRightInd w:val="0"/>
              <w:snapToGrid w:val="0"/>
              <w:spacing w:line="280" w:lineRule="exact"/>
              <w:jc w:val="center"/>
              <w:rPr>
                <w:rFonts w:ascii="仿宋" w:hAnsi="仿宋" w:eastAsia="仿宋" w:cs="黑体"/>
                <w:w w:val="95"/>
                <w:sz w:val="24"/>
                <w:szCs w:val="24"/>
              </w:rPr>
            </w:pPr>
            <w:r>
              <w:rPr>
                <w:rFonts w:hint="eastAsia" w:ascii="仿宋" w:hAnsi="仿宋" w:eastAsia="仿宋" w:cs="黑体"/>
                <w:w w:val="95"/>
                <w:sz w:val="24"/>
                <w:szCs w:val="24"/>
              </w:rPr>
              <w:t>占主营业务收入比重（%）</w:t>
            </w:r>
          </w:p>
        </w:tc>
        <w:tc>
          <w:tcPr>
            <w:tcW w:w="1299" w:type="dxa"/>
            <w:vAlign w:val="center"/>
          </w:tcPr>
          <w:p>
            <w:pPr>
              <w:adjustRightInd w:val="0"/>
              <w:snapToGrid w:val="0"/>
              <w:spacing w:line="360" w:lineRule="exact"/>
              <w:jc w:val="center"/>
              <w:rPr>
                <w:rFonts w:ascii="仿宋" w:hAnsi="仿宋" w:eastAsia="仿宋" w:cs="仿宋_GB2312"/>
                <w:sz w:val="24"/>
                <w:szCs w:val="24"/>
              </w:rPr>
            </w:pPr>
            <w:r>
              <w:rPr>
                <w:rFonts w:hint="eastAsia" w:ascii="仿宋" w:hAnsi="仿宋" w:eastAsia="仿宋" w:cs="仿宋_GB2312"/>
                <w:sz w:val="24"/>
                <w:szCs w:val="24"/>
              </w:rPr>
              <w:t>2.5</w:t>
            </w:r>
          </w:p>
        </w:tc>
        <w:tc>
          <w:tcPr>
            <w:tcW w:w="1219" w:type="dxa"/>
            <w:vAlign w:val="center"/>
          </w:tcPr>
          <w:p>
            <w:pPr>
              <w:adjustRightInd w:val="0"/>
              <w:snapToGrid w:val="0"/>
              <w:spacing w:line="480" w:lineRule="exact"/>
              <w:jc w:val="center"/>
              <w:rPr>
                <w:rFonts w:ascii="仿宋" w:hAnsi="仿宋" w:eastAsia="仿宋" w:cs="仿宋_GB2312"/>
                <w:sz w:val="24"/>
                <w:szCs w:val="24"/>
              </w:rPr>
            </w:pPr>
            <w:r>
              <w:rPr>
                <w:rFonts w:hint="eastAsia" w:ascii="仿宋" w:hAnsi="仿宋" w:eastAsia="仿宋" w:cs="仿宋_GB2312"/>
                <w:sz w:val="24"/>
                <w:szCs w:val="24"/>
              </w:rPr>
              <w:t>2.6</w:t>
            </w:r>
          </w:p>
        </w:tc>
        <w:tc>
          <w:tcPr>
            <w:tcW w:w="1297" w:type="dxa"/>
            <w:vAlign w:val="center"/>
          </w:tcPr>
          <w:p>
            <w:pPr>
              <w:adjustRightInd w:val="0"/>
              <w:snapToGrid w:val="0"/>
              <w:spacing w:line="360" w:lineRule="exact"/>
              <w:jc w:val="center"/>
              <w:rPr>
                <w:rFonts w:ascii="仿宋" w:hAnsi="仿宋" w:eastAsia="仿宋" w:cs="仿宋_GB2312"/>
                <w:sz w:val="24"/>
                <w:szCs w:val="24"/>
              </w:rPr>
            </w:pPr>
            <w:r>
              <w:rPr>
                <w:rFonts w:hint="eastAsia" w:ascii="仿宋" w:hAnsi="仿宋" w:eastAsia="仿宋"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106" w:type="dxa"/>
            <w:vMerge w:val="continue"/>
            <w:vAlign w:val="center"/>
          </w:tcPr>
          <w:p>
            <w:pPr>
              <w:adjustRightInd w:val="0"/>
              <w:snapToGrid w:val="0"/>
              <w:spacing w:line="360" w:lineRule="exact"/>
              <w:jc w:val="center"/>
              <w:rPr>
                <w:rFonts w:ascii="仿宋" w:hAnsi="仿宋" w:eastAsia="仿宋" w:cs="黑体"/>
                <w:w w:val="95"/>
                <w:sz w:val="24"/>
                <w:szCs w:val="24"/>
              </w:rPr>
            </w:pPr>
          </w:p>
        </w:tc>
        <w:tc>
          <w:tcPr>
            <w:tcW w:w="2802" w:type="dxa"/>
            <w:vMerge w:val="restart"/>
            <w:vAlign w:val="center"/>
          </w:tcPr>
          <w:p>
            <w:pPr>
              <w:adjustRightInd w:val="0"/>
              <w:snapToGrid w:val="0"/>
              <w:spacing w:line="360" w:lineRule="exact"/>
              <w:jc w:val="center"/>
              <w:rPr>
                <w:rFonts w:ascii="仿宋" w:hAnsi="仿宋" w:eastAsia="仿宋" w:cs="黑体"/>
                <w:w w:val="95"/>
                <w:sz w:val="24"/>
                <w:szCs w:val="24"/>
              </w:rPr>
            </w:pPr>
            <w:r>
              <w:rPr>
                <w:rFonts w:ascii="仿宋" w:hAnsi="仿宋" w:eastAsia="仿宋" w:cs="黑体"/>
                <w:w w:val="95"/>
                <w:sz w:val="24"/>
                <w:szCs w:val="24"/>
              </w:rPr>
              <w:t>R&amp;D</w:t>
            </w:r>
            <w:r>
              <w:rPr>
                <w:rFonts w:hint="eastAsia" w:ascii="仿宋" w:hAnsi="仿宋" w:eastAsia="仿宋" w:cs="黑体"/>
                <w:w w:val="95"/>
                <w:sz w:val="24"/>
                <w:szCs w:val="24"/>
              </w:rPr>
              <w:t>经费支出占区属</w:t>
            </w:r>
            <w:r>
              <w:rPr>
                <w:rFonts w:ascii="仿宋" w:hAnsi="仿宋" w:eastAsia="仿宋" w:cs="黑体"/>
                <w:w w:val="95"/>
                <w:sz w:val="24"/>
                <w:szCs w:val="24"/>
              </w:rPr>
              <w:t>GDP</w:t>
            </w:r>
            <w:r>
              <w:rPr>
                <w:rFonts w:hint="eastAsia" w:ascii="仿宋" w:hAnsi="仿宋" w:eastAsia="仿宋" w:cs="黑体"/>
                <w:w w:val="95"/>
                <w:sz w:val="24"/>
                <w:szCs w:val="24"/>
              </w:rPr>
              <w:t>比重（%）</w:t>
            </w:r>
          </w:p>
        </w:tc>
        <w:tc>
          <w:tcPr>
            <w:tcW w:w="648" w:type="dxa"/>
            <w:vAlign w:val="center"/>
          </w:tcPr>
          <w:p>
            <w:pPr>
              <w:adjustRightInd w:val="0"/>
              <w:snapToGrid w:val="0"/>
              <w:spacing w:line="360" w:lineRule="exact"/>
              <w:jc w:val="center"/>
              <w:rPr>
                <w:rFonts w:ascii="仿宋" w:hAnsi="仿宋" w:eastAsia="仿宋" w:cs="黑体"/>
                <w:w w:val="95"/>
                <w:sz w:val="24"/>
                <w:szCs w:val="24"/>
              </w:rPr>
            </w:pPr>
            <w:r>
              <w:rPr>
                <w:rFonts w:hint="eastAsia" w:ascii="仿宋" w:hAnsi="仿宋" w:eastAsia="仿宋" w:cs="黑体"/>
                <w:w w:val="95"/>
                <w:sz w:val="24"/>
                <w:szCs w:val="24"/>
              </w:rPr>
              <w:t>全区</w:t>
            </w:r>
          </w:p>
        </w:tc>
        <w:tc>
          <w:tcPr>
            <w:tcW w:w="1299" w:type="dxa"/>
            <w:vAlign w:val="center"/>
          </w:tcPr>
          <w:p>
            <w:pPr>
              <w:adjustRightInd w:val="0"/>
              <w:snapToGrid w:val="0"/>
              <w:spacing w:line="360" w:lineRule="exact"/>
              <w:jc w:val="center"/>
              <w:rPr>
                <w:rFonts w:ascii="仿宋" w:hAnsi="仿宋" w:eastAsia="仿宋" w:cs="仿宋_GB2312"/>
                <w:sz w:val="24"/>
                <w:szCs w:val="24"/>
              </w:rPr>
            </w:pPr>
            <w:r>
              <w:rPr>
                <w:rFonts w:hint="eastAsia" w:ascii="仿宋" w:hAnsi="仿宋" w:eastAsia="仿宋" w:cs="仿宋_GB2312"/>
                <w:sz w:val="24"/>
                <w:szCs w:val="24"/>
              </w:rPr>
              <w:t>2.</w:t>
            </w:r>
            <w:r>
              <w:rPr>
                <w:rFonts w:ascii="仿宋" w:hAnsi="仿宋" w:eastAsia="仿宋" w:cs="仿宋_GB2312"/>
                <w:sz w:val="24"/>
                <w:szCs w:val="24"/>
              </w:rPr>
              <w:t>2</w:t>
            </w:r>
          </w:p>
        </w:tc>
        <w:tc>
          <w:tcPr>
            <w:tcW w:w="1219" w:type="dxa"/>
            <w:vAlign w:val="center"/>
          </w:tcPr>
          <w:p>
            <w:pPr>
              <w:adjustRightInd w:val="0"/>
              <w:snapToGrid w:val="0"/>
              <w:spacing w:line="480" w:lineRule="exact"/>
              <w:jc w:val="center"/>
              <w:rPr>
                <w:rFonts w:ascii="仿宋" w:hAnsi="仿宋" w:eastAsia="仿宋" w:cs="仿宋_GB2312"/>
                <w:sz w:val="24"/>
                <w:szCs w:val="24"/>
              </w:rPr>
            </w:pPr>
            <w:r>
              <w:rPr>
                <w:rFonts w:hint="eastAsia" w:ascii="仿宋" w:hAnsi="仿宋" w:eastAsia="仿宋" w:cs="仿宋_GB2312"/>
                <w:sz w:val="24"/>
                <w:szCs w:val="24"/>
              </w:rPr>
              <w:t>2.45</w:t>
            </w:r>
          </w:p>
        </w:tc>
        <w:tc>
          <w:tcPr>
            <w:tcW w:w="1297" w:type="dxa"/>
            <w:vAlign w:val="center"/>
          </w:tcPr>
          <w:p>
            <w:pPr>
              <w:adjustRightInd w:val="0"/>
              <w:snapToGrid w:val="0"/>
              <w:spacing w:line="360" w:lineRule="exact"/>
              <w:jc w:val="center"/>
              <w:rPr>
                <w:rFonts w:ascii="仿宋" w:hAnsi="仿宋" w:eastAsia="仿宋" w:cs="仿宋_GB2312"/>
                <w:sz w:val="24"/>
                <w:szCs w:val="24"/>
              </w:rPr>
            </w:pPr>
            <w:r>
              <w:rPr>
                <w:rFonts w:hint="eastAsia" w:ascii="仿宋" w:hAnsi="仿宋" w:eastAsia="仿宋" w:cs="仿宋_GB2312"/>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06" w:type="dxa"/>
            <w:vMerge w:val="continue"/>
            <w:vAlign w:val="center"/>
          </w:tcPr>
          <w:p>
            <w:pPr>
              <w:adjustRightInd w:val="0"/>
              <w:snapToGrid w:val="0"/>
              <w:spacing w:line="360" w:lineRule="exact"/>
              <w:jc w:val="center"/>
              <w:rPr>
                <w:rFonts w:ascii="仿宋" w:hAnsi="仿宋" w:eastAsia="仿宋" w:cs="黑体"/>
                <w:w w:val="95"/>
                <w:sz w:val="24"/>
                <w:szCs w:val="24"/>
              </w:rPr>
            </w:pPr>
          </w:p>
        </w:tc>
        <w:tc>
          <w:tcPr>
            <w:tcW w:w="2802" w:type="dxa"/>
            <w:vMerge w:val="continue"/>
            <w:vAlign w:val="center"/>
          </w:tcPr>
          <w:p>
            <w:pPr>
              <w:adjustRightInd w:val="0"/>
              <w:snapToGrid w:val="0"/>
              <w:spacing w:line="360" w:lineRule="exact"/>
              <w:jc w:val="center"/>
              <w:rPr>
                <w:rFonts w:ascii="仿宋" w:hAnsi="仿宋" w:eastAsia="仿宋" w:cs="黑体"/>
                <w:w w:val="95"/>
                <w:sz w:val="24"/>
                <w:szCs w:val="24"/>
              </w:rPr>
            </w:pPr>
          </w:p>
        </w:tc>
        <w:tc>
          <w:tcPr>
            <w:tcW w:w="648" w:type="dxa"/>
            <w:vAlign w:val="center"/>
          </w:tcPr>
          <w:p>
            <w:pPr>
              <w:adjustRightInd w:val="0"/>
              <w:snapToGrid w:val="0"/>
              <w:spacing w:line="360" w:lineRule="exact"/>
              <w:jc w:val="center"/>
              <w:rPr>
                <w:rFonts w:ascii="仿宋" w:hAnsi="仿宋" w:eastAsia="仿宋" w:cs="黑体"/>
                <w:w w:val="95"/>
                <w:sz w:val="24"/>
                <w:szCs w:val="24"/>
              </w:rPr>
            </w:pPr>
            <w:r>
              <w:rPr>
                <w:rFonts w:hint="eastAsia" w:ascii="仿宋" w:hAnsi="仿宋" w:eastAsia="仿宋" w:cs="黑体"/>
                <w:w w:val="95"/>
                <w:sz w:val="24"/>
                <w:szCs w:val="24"/>
              </w:rPr>
              <w:t>区属</w:t>
            </w:r>
          </w:p>
        </w:tc>
        <w:tc>
          <w:tcPr>
            <w:tcW w:w="1299" w:type="dxa"/>
            <w:vAlign w:val="center"/>
          </w:tcPr>
          <w:p>
            <w:pPr>
              <w:adjustRightInd w:val="0"/>
              <w:snapToGrid w:val="0"/>
              <w:spacing w:line="360" w:lineRule="exact"/>
              <w:jc w:val="center"/>
              <w:rPr>
                <w:rFonts w:ascii="仿宋" w:hAnsi="仿宋" w:eastAsia="仿宋" w:cs="仿宋_GB2312"/>
                <w:sz w:val="24"/>
                <w:szCs w:val="24"/>
              </w:rPr>
            </w:pPr>
            <w:r>
              <w:rPr>
                <w:rFonts w:hint="eastAsia" w:ascii="仿宋" w:hAnsi="仿宋" w:eastAsia="仿宋" w:cs="仿宋_GB2312"/>
                <w:sz w:val="24"/>
                <w:szCs w:val="24"/>
              </w:rPr>
              <w:t>3.06</w:t>
            </w:r>
          </w:p>
        </w:tc>
        <w:tc>
          <w:tcPr>
            <w:tcW w:w="1219" w:type="dxa"/>
            <w:vAlign w:val="center"/>
          </w:tcPr>
          <w:p>
            <w:pPr>
              <w:adjustRightInd w:val="0"/>
              <w:snapToGrid w:val="0"/>
              <w:spacing w:line="480" w:lineRule="exact"/>
              <w:jc w:val="center"/>
              <w:rPr>
                <w:rFonts w:ascii="仿宋" w:hAnsi="仿宋" w:eastAsia="仿宋" w:cs="仿宋_GB2312"/>
                <w:sz w:val="24"/>
                <w:szCs w:val="24"/>
              </w:rPr>
            </w:pPr>
            <w:r>
              <w:rPr>
                <w:rFonts w:hint="eastAsia" w:ascii="仿宋" w:hAnsi="仿宋" w:eastAsia="仿宋" w:cs="仿宋_GB2312"/>
                <w:sz w:val="24"/>
                <w:szCs w:val="24"/>
              </w:rPr>
              <w:t>3.2</w:t>
            </w:r>
          </w:p>
        </w:tc>
        <w:tc>
          <w:tcPr>
            <w:tcW w:w="1297" w:type="dxa"/>
            <w:vAlign w:val="center"/>
          </w:tcPr>
          <w:p>
            <w:pPr>
              <w:adjustRightInd w:val="0"/>
              <w:snapToGrid w:val="0"/>
              <w:spacing w:line="360" w:lineRule="exact"/>
              <w:jc w:val="center"/>
              <w:rPr>
                <w:rFonts w:ascii="仿宋" w:hAnsi="仿宋" w:eastAsia="仿宋" w:cs="仿宋_GB2312"/>
                <w:sz w:val="24"/>
                <w:szCs w:val="24"/>
              </w:rPr>
            </w:pPr>
            <w:r>
              <w:rPr>
                <w:rFonts w:ascii="仿宋" w:hAnsi="仿宋" w:eastAsia="仿宋" w:cs="仿宋_GB2312"/>
                <w:sz w:val="24"/>
                <w:szCs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106" w:type="dxa"/>
            <w:vMerge w:val="continue"/>
            <w:vAlign w:val="center"/>
          </w:tcPr>
          <w:p>
            <w:pPr>
              <w:adjustRightInd w:val="0"/>
              <w:snapToGrid w:val="0"/>
              <w:spacing w:line="360" w:lineRule="exact"/>
              <w:jc w:val="center"/>
              <w:rPr>
                <w:rFonts w:ascii="仿宋" w:hAnsi="仿宋" w:eastAsia="仿宋" w:cs="黑体"/>
                <w:w w:val="95"/>
                <w:sz w:val="24"/>
                <w:szCs w:val="24"/>
              </w:rPr>
            </w:pPr>
          </w:p>
        </w:tc>
        <w:tc>
          <w:tcPr>
            <w:tcW w:w="2802" w:type="dxa"/>
            <w:vMerge w:val="restart"/>
            <w:vAlign w:val="center"/>
          </w:tcPr>
          <w:p>
            <w:pPr>
              <w:adjustRightInd w:val="0"/>
              <w:snapToGrid w:val="0"/>
              <w:spacing w:line="360" w:lineRule="exact"/>
              <w:jc w:val="center"/>
              <w:rPr>
                <w:rFonts w:ascii="仿宋" w:hAnsi="仿宋" w:eastAsia="仿宋" w:cs="黑体"/>
                <w:w w:val="95"/>
                <w:sz w:val="24"/>
                <w:szCs w:val="24"/>
              </w:rPr>
            </w:pPr>
            <w:r>
              <w:rPr>
                <w:rFonts w:hint="eastAsia" w:ascii="仿宋" w:hAnsi="仿宋" w:eastAsia="仿宋" w:cs="黑体"/>
                <w:w w:val="95"/>
                <w:sz w:val="24"/>
                <w:szCs w:val="24"/>
              </w:rPr>
              <w:t>高新技术产业增加值占规上工业增加值比重（%）</w:t>
            </w:r>
          </w:p>
        </w:tc>
        <w:tc>
          <w:tcPr>
            <w:tcW w:w="648" w:type="dxa"/>
            <w:vAlign w:val="center"/>
          </w:tcPr>
          <w:p>
            <w:pPr>
              <w:adjustRightInd w:val="0"/>
              <w:snapToGrid w:val="0"/>
              <w:spacing w:line="360" w:lineRule="exact"/>
              <w:jc w:val="center"/>
              <w:rPr>
                <w:rFonts w:ascii="仿宋" w:hAnsi="仿宋" w:eastAsia="仿宋" w:cs="黑体"/>
                <w:w w:val="95"/>
                <w:sz w:val="24"/>
                <w:szCs w:val="24"/>
              </w:rPr>
            </w:pPr>
            <w:r>
              <w:rPr>
                <w:rFonts w:hint="eastAsia" w:ascii="仿宋" w:hAnsi="仿宋" w:eastAsia="仿宋" w:cs="黑体"/>
                <w:w w:val="95"/>
                <w:sz w:val="24"/>
                <w:szCs w:val="24"/>
              </w:rPr>
              <w:t>全区</w:t>
            </w:r>
          </w:p>
        </w:tc>
        <w:tc>
          <w:tcPr>
            <w:tcW w:w="1299" w:type="dxa"/>
            <w:vAlign w:val="center"/>
          </w:tcPr>
          <w:p>
            <w:pPr>
              <w:adjustRightInd w:val="0"/>
              <w:snapToGrid w:val="0"/>
              <w:spacing w:line="360" w:lineRule="exact"/>
              <w:jc w:val="center"/>
              <w:rPr>
                <w:rFonts w:ascii="仿宋" w:hAnsi="仿宋" w:eastAsia="仿宋" w:cs="仿宋_GB2312"/>
                <w:sz w:val="24"/>
                <w:szCs w:val="24"/>
              </w:rPr>
            </w:pPr>
            <w:r>
              <w:rPr>
                <w:rFonts w:ascii="仿宋" w:hAnsi="仿宋" w:eastAsia="仿宋" w:cs="仿宋_GB2312"/>
                <w:sz w:val="24"/>
                <w:szCs w:val="24"/>
              </w:rPr>
              <w:t>22.3</w:t>
            </w:r>
          </w:p>
        </w:tc>
        <w:tc>
          <w:tcPr>
            <w:tcW w:w="1219" w:type="dxa"/>
            <w:vAlign w:val="center"/>
          </w:tcPr>
          <w:p>
            <w:pPr>
              <w:adjustRightInd w:val="0"/>
              <w:snapToGrid w:val="0"/>
              <w:spacing w:line="480" w:lineRule="exact"/>
              <w:jc w:val="center"/>
              <w:rPr>
                <w:rFonts w:ascii="仿宋" w:hAnsi="仿宋" w:eastAsia="仿宋" w:cs="仿宋_GB2312"/>
                <w:sz w:val="24"/>
                <w:szCs w:val="24"/>
              </w:rPr>
            </w:pPr>
            <w:r>
              <w:rPr>
                <w:rFonts w:hint="eastAsia" w:ascii="仿宋" w:hAnsi="仿宋" w:eastAsia="仿宋" w:cs="仿宋_GB2312"/>
                <w:sz w:val="24"/>
                <w:szCs w:val="24"/>
              </w:rPr>
              <w:t>23.6</w:t>
            </w:r>
          </w:p>
        </w:tc>
        <w:tc>
          <w:tcPr>
            <w:tcW w:w="1297" w:type="dxa"/>
            <w:vAlign w:val="center"/>
          </w:tcPr>
          <w:p>
            <w:pPr>
              <w:adjustRightInd w:val="0"/>
              <w:snapToGrid w:val="0"/>
              <w:spacing w:line="360" w:lineRule="exact"/>
              <w:jc w:val="center"/>
              <w:rPr>
                <w:rFonts w:ascii="仿宋" w:hAnsi="仿宋" w:eastAsia="仿宋" w:cs="仿宋_GB2312"/>
                <w:sz w:val="24"/>
                <w:szCs w:val="24"/>
              </w:rPr>
            </w:pPr>
            <w:r>
              <w:rPr>
                <w:rFonts w:hint="eastAsia" w:ascii="仿宋" w:hAnsi="仿宋" w:eastAsia="仿宋" w:cs="仿宋_GB2312"/>
                <w:sz w:val="24"/>
                <w:szCs w:val="24"/>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6" w:type="dxa"/>
            <w:vMerge w:val="continue"/>
            <w:vAlign w:val="center"/>
          </w:tcPr>
          <w:p>
            <w:pPr>
              <w:adjustRightInd w:val="0"/>
              <w:snapToGrid w:val="0"/>
              <w:spacing w:line="360" w:lineRule="exact"/>
              <w:jc w:val="center"/>
              <w:rPr>
                <w:rFonts w:ascii="仿宋" w:hAnsi="仿宋" w:eastAsia="仿宋" w:cs="黑体"/>
                <w:w w:val="95"/>
                <w:sz w:val="24"/>
                <w:szCs w:val="24"/>
              </w:rPr>
            </w:pPr>
          </w:p>
        </w:tc>
        <w:tc>
          <w:tcPr>
            <w:tcW w:w="2802" w:type="dxa"/>
            <w:vMerge w:val="continue"/>
            <w:vAlign w:val="center"/>
          </w:tcPr>
          <w:p>
            <w:pPr>
              <w:adjustRightInd w:val="0"/>
              <w:snapToGrid w:val="0"/>
              <w:spacing w:line="360" w:lineRule="exact"/>
              <w:jc w:val="center"/>
              <w:rPr>
                <w:rFonts w:ascii="仿宋" w:hAnsi="仿宋" w:eastAsia="仿宋" w:cs="黑体"/>
                <w:w w:val="95"/>
                <w:sz w:val="24"/>
                <w:szCs w:val="24"/>
              </w:rPr>
            </w:pPr>
          </w:p>
        </w:tc>
        <w:tc>
          <w:tcPr>
            <w:tcW w:w="648" w:type="dxa"/>
            <w:vAlign w:val="center"/>
          </w:tcPr>
          <w:p>
            <w:pPr>
              <w:adjustRightInd w:val="0"/>
              <w:snapToGrid w:val="0"/>
              <w:spacing w:line="360" w:lineRule="exact"/>
              <w:jc w:val="center"/>
              <w:rPr>
                <w:rFonts w:ascii="仿宋" w:hAnsi="仿宋" w:eastAsia="仿宋" w:cs="黑体"/>
                <w:w w:val="95"/>
                <w:sz w:val="24"/>
                <w:szCs w:val="24"/>
              </w:rPr>
            </w:pPr>
            <w:r>
              <w:rPr>
                <w:rFonts w:hint="eastAsia" w:ascii="仿宋" w:hAnsi="仿宋" w:eastAsia="仿宋" w:cs="黑体"/>
                <w:w w:val="95"/>
                <w:sz w:val="24"/>
                <w:szCs w:val="24"/>
              </w:rPr>
              <w:t>区属</w:t>
            </w:r>
          </w:p>
        </w:tc>
        <w:tc>
          <w:tcPr>
            <w:tcW w:w="1299" w:type="dxa"/>
            <w:vAlign w:val="center"/>
          </w:tcPr>
          <w:p>
            <w:pPr>
              <w:adjustRightInd w:val="0"/>
              <w:snapToGrid w:val="0"/>
              <w:spacing w:line="360" w:lineRule="exact"/>
              <w:jc w:val="center"/>
              <w:rPr>
                <w:rFonts w:ascii="仿宋" w:hAnsi="仿宋" w:eastAsia="仿宋" w:cs="仿宋_GB2312"/>
                <w:sz w:val="24"/>
                <w:szCs w:val="24"/>
              </w:rPr>
            </w:pPr>
            <w:r>
              <w:rPr>
                <w:rFonts w:ascii="仿宋" w:hAnsi="仿宋" w:eastAsia="仿宋" w:cs="仿宋_GB2312"/>
                <w:sz w:val="24"/>
                <w:szCs w:val="24"/>
              </w:rPr>
              <w:t>53.1</w:t>
            </w:r>
          </w:p>
        </w:tc>
        <w:tc>
          <w:tcPr>
            <w:tcW w:w="1219" w:type="dxa"/>
            <w:vAlign w:val="center"/>
          </w:tcPr>
          <w:p>
            <w:pPr>
              <w:adjustRightInd w:val="0"/>
              <w:snapToGrid w:val="0"/>
              <w:spacing w:line="480" w:lineRule="exact"/>
              <w:jc w:val="center"/>
              <w:rPr>
                <w:rFonts w:ascii="仿宋" w:hAnsi="仿宋" w:eastAsia="仿宋" w:cs="仿宋_GB2312"/>
                <w:sz w:val="24"/>
                <w:szCs w:val="24"/>
              </w:rPr>
            </w:pPr>
            <w:r>
              <w:rPr>
                <w:rFonts w:hint="eastAsia" w:ascii="仿宋" w:hAnsi="仿宋" w:eastAsia="仿宋" w:cs="仿宋_GB2312"/>
                <w:sz w:val="24"/>
                <w:szCs w:val="24"/>
              </w:rPr>
              <w:t>57.6</w:t>
            </w:r>
          </w:p>
        </w:tc>
        <w:tc>
          <w:tcPr>
            <w:tcW w:w="1297" w:type="dxa"/>
            <w:vAlign w:val="center"/>
          </w:tcPr>
          <w:p>
            <w:pPr>
              <w:adjustRightInd w:val="0"/>
              <w:snapToGrid w:val="0"/>
              <w:spacing w:line="360" w:lineRule="exact"/>
              <w:jc w:val="center"/>
              <w:rPr>
                <w:rFonts w:ascii="仿宋" w:hAnsi="仿宋" w:eastAsia="仿宋" w:cs="仿宋_GB2312"/>
                <w:sz w:val="24"/>
                <w:szCs w:val="24"/>
              </w:rPr>
            </w:pPr>
            <w:r>
              <w:rPr>
                <w:rFonts w:hint="eastAsia" w:ascii="仿宋" w:hAnsi="仿宋" w:eastAsia="仿宋" w:cs="仿宋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06" w:type="dxa"/>
            <w:vMerge w:val="continue"/>
            <w:vAlign w:val="center"/>
          </w:tcPr>
          <w:p>
            <w:pPr>
              <w:adjustRightInd w:val="0"/>
              <w:snapToGrid w:val="0"/>
              <w:spacing w:line="400" w:lineRule="exact"/>
              <w:jc w:val="center"/>
              <w:rPr>
                <w:rFonts w:ascii="仿宋" w:hAnsi="仿宋" w:eastAsia="仿宋" w:cs="黑体"/>
                <w:w w:val="95"/>
                <w:sz w:val="24"/>
                <w:szCs w:val="24"/>
              </w:rPr>
            </w:pPr>
          </w:p>
        </w:tc>
        <w:tc>
          <w:tcPr>
            <w:tcW w:w="3450" w:type="dxa"/>
            <w:gridSpan w:val="2"/>
            <w:vAlign w:val="center"/>
          </w:tcPr>
          <w:p>
            <w:pPr>
              <w:adjustRightInd w:val="0"/>
              <w:snapToGrid w:val="0"/>
              <w:spacing w:line="400" w:lineRule="exact"/>
              <w:jc w:val="center"/>
              <w:rPr>
                <w:rFonts w:ascii="仿宋" w:hAnsi="仿宋" w:eastAsia="仿宋" w:cs="黑体"/>
                <w:w w:val="95"/>
                <w:sz w:val="24"/>
                <w:szCs w:val="24"/>
              </w:rPr>
            </w:pPr>
            <w:r>
              <w:rPr>
                <w:rFonts w:hint="eastAsia" w:ascii="仿宋" w:hAnsi="仿宋" w:eastAsia="仿宋" w:cs="黑体"/>
                <w:w w:val="95"/>
                <w:sz w:val="24"/>
                <w:szCs w:val="24"/>
              </w:rPr>
              <w:t>规上企业研发机构设置率（%）</w:t>
            </w:r>
          </w:p>
        </w:tc>
        <w:tc>
          <w:tcPr>
            <w:tcW w:w="1299" w:type="dxa"/>
            <w:vAlign w:val="center"/>
          </w:tcPr>
          <w:p>
            <w:pPr>
              <w:adjustRightInd w:val="0"/>
              <w:snapToGrid w:val="0"/>
              <w:spacing w:line="400" w:lineRule="exact"/>
              <w:jc w:val="center"/>
              <w:rPr>
                <w:rFonts w:ascii="仿宋" w:hAnsi="仿宋" w:eastAsia="仿宋" w:cs="仿宋_GB2312"/>
                <w:sz w:val="24"/>
                <w:szCs w:val="24"/>
              </w:rPr>
            </w:pPr>
            <w:r>
              <w:rPr>
                <w:rFonts w:hint="eastAsia" w:ascii="仿宋" w:hAnsi="仿宋" w:eastAsia="仿宋" w:cs="仿宋_GB2312"/>
                <w:sz w:val="24"/>
                <w:szCs w:val="24"/>
              </w:rPr>
              <w:t>32</w:t>
            </w:r>
          </w:p>
        </w:tc>
        <w:tc>
          <w:tcPr>
            <w:tcW w:w="1219" w:type="dxa"/>
            <w:vAlign w:val="center"/>
          </w:tcPr>
          <w:p>
            <w:pPr>
              <w:adjustRightInd w:val="0"/>
              <w:snapToGrid w:val="0"/>
              <w:spacing w:line="480" w:lineRule="exact"/>
              <w:jc w:val="center"/>
              <w:rPr>
                <w:rFonts w:ascii="仿宋" w:hAnsi="仿宋" w:eastAsia="仿宋" w:cs="仿宋_GB2312"/>
                <w:sz w:val="24"/>
                <w:szCs w:val="24"/>
              </w:rPr>
            </w:pPr>
            <w:r>
              <w:rPr>
                <w:rFonts w:ascii="仿宋" w:hAnsi="仿宋" w:eastAsia="仿宋" w:cs="仿宋_GB2312"/>
                <w:sz w:val="24"/>
                <w:szCs w:val="24"/>
              </w:rPr>
              <w:t>40</w:t>
            </w:r>
          </w:p>
        </w:tc>
        <w:tc>
          <w:tcPr>
            <w:tcW w:w="1297" w:type="dxa"/>
            <w:vAlign w:val="center"/>
          </w:tcPr>
          <w:p>
            <w:pPr>
              <w:adjustRightInd w:val="0"/>
              <w:snapToGrid w:val="0"/>
              <w:spacing w:line="400" w:lineRule="exact"/>
              <w:jc w:val="center"/>
              <w:rPr>
                <w:rFonts w:ascii="仿宋" w:hAnsi="仿宋" w:eastAsia="仿宋" w:cs="仿宋_GB2312"/>
                <w:sz w:val="24"/>
                <w:szCs w:val="24"/>
              </w:rPr>
            </w:pPr>
            <w:r>
              <w:rPr>
                <w:rFonts w:hint="eastAsia" w:ascii="仿宋" w:hAnsi="仿宋" w:eastAsia="仿宋" w:cs="仿宋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06" w:type="dxa"/>
            <w:vMerge w:val="continue"/>
            <w:vAlign w:val="center"/>
          </w:tcPr>
          <w:p>
            <w:pPr>
              <w:adjustRightInd w:val="0"/>
              <w:snapToGrid w:val="0"/>
              <w:spacing w:line="400" w:lineRule="exact"/>
              <w:jc w:val="center"/>
              <w:rPr>
                <w:rFonts w:ascii="仿宋" w:hAnsi="仿宋" w:eastAsia="仿宋" w:cs="黑体"/>
                <w:w w:val="95"/>
                <w:sz w:val="24"/>
                <w:szCs w:val="24"/>
              </w:rPr>
            </w:pPr>
          </w:p>
        </w:tc>
        <w:tc>
          <w:tcPr>
            <w:tcW w:w="3450" w:type="dxa"/>
            <w:gridSpan w:val="2"/>
            <w:vAlign w:val="center"/>
          </w:tcPr>
          <w:p>
            <w:pPr>
              <w:adjustRightInd w:val="0"/>
              <w:snapToGrid w:val="0"/>
              <w:spacing w:line="400" w:lineRule="exact"/>
              <w:jc w:val="center"/>
              <w:rPr>
                <w:rFonts w:ascii="仿宋" w:hAnsi="仿宋" w:eastAsia="仿宋" w:cs="黑体"/>
                <w:w w:val="95"/>
                <w:sz w:val="24"/>
                <w:szCs w:val="24"/>
              </w:rPr>
            </w:pPr>
            <w:r>
              <w:rPr>
                <w:rFonts w:hint="eastAsia" w:ascii="仿宋" w:hAnsi="仿宋" w:eastAsia="仿宋" w:cs="黑体"/>
                <w:w w:val="95"/>
                <w:sz w:val="24"/>
                <w:szCs w:val="24"/>
              </w:rPr>
              <w:t>每万名就业人员中R&amp;D人员数</w:t>
            </w:r>
          </w:p>
          <w:p>
            <w:pPr>
              <w:adjustRightInd w:val="0"/>
              <w:snapToGrid w:val="0"/>
              <w:spacing w:line="400" w:lineRule="exact"/>
              <w:jc w:val="center"/>
              <w:rPr>
                <w:rFonts w:ascii="仿宋" w:hAnsi="仿宋" w:eastAsia="仿宋" w:cs="黑体"/>
                <w:w w:val="95"/>
                <w:sz w:val="24"/>
                <w:szCs w:val="24"/>
              </w:rPr>
            </w:pPr>
            <w:r>
              <w:rPr>
                <w:rFonts w:hint="eastAsia" w:ascii="仿宋" w:hAnsi="仿宋" w:eastAsia="仿宋" w:cs="黑体"/>
                <w:w w:val="95"/>
                <w:sz w:val="24"/>
                <w:szCs w:val="24"/>
              </w:rPr>
              <w:t>（人年/万人）</w:t>
            </w:r>
          </w:p>
        </w:tc>
        <w:tc>
          <w:tcPr>
            <w:tcW w:w="1299" w:type="dxa"/>
            <w:vAlign w:val="center"/>
          </w:tcPr>
          <w:p>
            <w:pPr>
              <w:adjustRightInd w:val="0"/>
              <w:snapToGrid w:val="0"/>
              <w:spacing w:line="400" w:lineRule="exact"/>
              <w:jc w:val="center"/>
              <w:rPr>
                <w:rFonts w:ascii="仿宋" w:hAnsi="仿宋" w:eastAsia="仿宋" w:cs="仿宋_GB2312"/>
                <w:sz w:val="24"/>
                <w:szCs w:val="24"/>
              </w:rPr>
            </w:pPr>
            <w:r>
              <w:rPr>
                <w:rFonts w:hint="eastAsia" w:ascii="仿宋" w:hAnsi="仿宋" w:eastAsia="仿宋" w:cs="仿宋_GB2312"/>
                <w:sz w:val="24"/>
                <w:szCs w:val="24"/>
              </w:rPr>
              <w:t>154</w:t>
            </w:r>
          </w:p>
        </w:tc>
        <w:tc>
          <w:tcPr>
            <w:tcW w:w="1219" w:type="dxa"/>
            <w:vAlign w:val="center"/>
          </w:tcPr>
          <w:p>
            <w:pPr>
              <w:adjustRightInd w:val="0"/>
              <w:snapToGrid w:val="0"/>
              <w:spacing w:line="480" w:lineRule="exact"/>
              <w:jc w:val="center"/>
              <w:rPr>
                <w:rFonts w:ascii="仿宋" w:hAnsi="仿宋" w:eastAsia="仿宋" w:cs="仿宋_GB2312"/>
                <w:sz w:val="24"/>
                <w:szCs w:val="24"/>
              </w:rPr>
            </w:pPr>
            <w:r>
              <w:rPr>
                <w:rFonts w:hint="eastAsia" w:ascii="仿宋" w:hAnsi="仿宋" w:eastAsia="仿宋" w:cs="仿宋_GB2312"/>
                <w:sz w:val="24"/>
                <w:szCs w:val="24"/>
              </w:rPr>
              <w:t>162</w:t>
            </w:r>
          </w:p>
        </w:tc>
        <w:tc>
          <w:tcPr>
            <w:tcW w:w="1297" w:type="dxa"/>
            <w:vAlign w:val="center"/>
          </w:tcPr>
          <w:p>
            <w:pPr>
              <w:adjustRightInd w:val="0"/>
              <w:snapToGrid w:val="0"/>
              <w:spacing w:line="400" w:lineRule="exact"/>
              <w:jc w:val="center"/>
              <w:rPr>
                <w:rFonts w:ascii="仿宋" w:hAnsi="仿宋" w:eastAsia="仿宋" w:cs="仿宋_GB2312"/>
                <w:sz w:val="24"/>
                <w:szCs w:val="24"/>
              </w:rPr>
            </w:pPr>
            <w:r>
              <w:rPr>
                <w:rFonts w:hint="eastAsia" w:ascii="仿宋" w:hAnsi="仿宋" w:eastAsia="仿宋" w:cs="仿宋_GB2312"/>
                <w:sz w:val="24"/>
                <w:szCs w:val="24"/>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06" w:type="dxa"/>
            <w:vMerge w:val="continue"/>
            <w:vAlign w:val="center"/>
          </w:tcPr>
          <w:p>
            <w:pPr>
              <w:adjustRightInd w:val="0"/>
              <w:snapToGrid w:val="0"/>
              <w:spacing w:line="400" w:lineRule="exact"/>
              <w:jc w:val="center"/>
              <w:rPr>
                <w:rFonts w:ascii="仿宋" w:hAnsi="仿宋" w:eastAsia="仿宋" w:cs="黑体"/>
                <w:w w:val="95"/>
                <w:sz w:val="24"/>
                <w:szCs w:val="24"/>
              </w:rPr>
            </w:pPr>
          </w:p>
        </w:tc>
        <w:tc>
          <w:tcPr>
            <w:tcW w:w="3450" w:type="dxa"/>
            <w:gridSpan w:val="2"/>
            <w:vAlign w:val="center"/>
          </w:tcPr>
          <w:p>
            <w:pPr>
              <w:adjustRightInd w:val="0"/>
              <w:snapToGrid w:val="0"/>
              <w:spacing w:line="400" w:lineRule="exact"/>
              <w:jc w:val="center"/>
              <w:rPr>
                <w:rFonts w:ascii="仿宋" w:hAnsi="仿宋" w:eastAsia="仿宋" w:cs="黑体"/>
                <w:w w:val="95"/>
                <w:sz w:val="24"/>
                <w:szCs w:val="24"/>
              </w:rPr>
            </w:pPr>
            <w:r>
              <w:rPr>
                <w:rFonts w:hint="eastAsia" w:ascii="仿宋" w:hAnsi="仿宋" w:eastAsia="仿宋" w:cs="黑体"/>
                <w:w w:val="95"/>
                <w:sz w:val="24"/>
                <w:szCs w:val="24"/>
              </w:rPr>
              <w:t>技术交易额（亿元）</w:t>
            </w:r>
          </w:p>
        </w:tc>
        <w:tc>
          <w:tcPr>
            <w:tcW w:w="1299" w:type="dxa"/>
            <w:vAlign w:val="center"/>
          </w:tcPr>
          <w:p>
            <w:pPr>
              <w:adjustRightInd w:val="0"/>
              <w:snapToGrid w:val="0"/>
              <w:spacing w:line="400" w:lineRule="exact"/>
              <w:jc w:val="center"/>
              <w:rPr>
                <w:rFonts w:ascii="仿宋" w:hAnsi="仿宋" w:eastAsia="仿宋" w:cs="仿宋_GB2312"/>
                <w:b/>
                <w:bCs/>
                <w:sz w:val="24"/>
                <w:szCs w:val="24"/>
              </w:rPr>
            </w:pPr>
            <w:r>
              <w:rPr>
                <w:rFonts w:hint="eastAsia" w:ascii="仿宋" w:hAnsi="仿宋" w:eastAsia="仿宋" w:cs="仿宋_GB2312"/>
                <w:sz w:val="24"/>
                <w:szCs w:val="24"/>
              </w:rPr>
              <w:t>8</w:t>
            </w:r>
          </w:p>
        </w:tc>
        <w:tc>
          <w:tcPr>
            <w:tcW w:w="1219" w:type="dxa"/>
            <w:vAlign w:val="center"/>
          </w:tcPr>
          <w:p>
            <w:pPr>
              <w:adjustRightInd w:val="0"/>
              <w:snapToGrid w:val="0"/>
              <w:spacing w:line="480" w:lineRule="exact"/>
              <w:jc w:val="center"/>
              <w:rPr>
                <w:rFonts w:ascii="仿宋" w:hAnsi="仿宋" w:eastAsia="仿宋" w:cs="仿宋_GB2312"/>
                <w:sz w:val="24"/>
                <w:szCs w:val="24"/>
              </w:rPr>
            </w:pPr>
            <w:r>
              <w:rPr>
                <w:rFonts w:hint="eastAsia" w:ascii="仿宋" w:hAnsi="仿宋" w:eastAsia="仿宋" w:cs="仿宋_GB2312"/>
                <w:sz w:val="24"/>
                <w:szCs w:val="24"/>
              </w:rPr>
              <w:t>10</w:t>
            </w:r>
          </w:p>
        </w:tc>
        <w:tc>
          <w:tcPr>
            <w:tcW w:w="1297" w:type="dxa"/>
            <w:vAlign w:val="center"/>
          </w:tcPr>
          <w:p>
            <w:pPr>
              <w:adjustRightInd w:val="0"/>
              <w:snapToGrid w:val="0"/>
              <w:spacing w:line="400" w:lineRule="exact"/>
              <w:jc w:val="center"/>
              <w:rPr>
                <w:rFonts w:ascii="仿宋" w:hAnsi="仿宋" w:eastAsia="仿宋" w:cs="仿宋_GB2312"/>
                <w:b/>
                <w:bCs/>
                <w:sz w:val="24"/>
                <w:szCs w:val="24"/>
              </w:rPr>
            </w:pPr>
            <w:r>
              <w:rPr>
                <w:rFonts w:hint="eastAsia" w:ascii="仿宋" w:hAnsi="仿宋" w:eastAsia="仿宋" w:cs="仿宋_GB2312"/>
                <w:sz w:val="24"/>
                <w:szCs w:val="24"/>
              </w:rPr>
              <w:t>20</w:t>
            </w:r>
          </w:p>
        </w:tc>
      </w:tr>
    </w:tbl>
    <w:p>
      <w:pPr>
        <w:pStyle w:val="2"/>
        <w:tabs>
          <w:tab w:val="center" w:pos="4156"/>
          <w:tab w:val="left" w:pos="7536"/>
        </w:tabs>
        <w:adjustRightInd w:val="0"/>
        <w:snapToGrid w:val="0"/>
        <w:spacing w:before="468" w:beforeLines="150" w:after="156" w:afterLines="50" w:line="360" w:lineRule="auto"/>
        <w:jc w:val="left"/>
        <w:rPr>
          <w:rFonts w:hAnsi="Times New Roman" w:eastAsia="黑体" w:asciiTheme="majorHAnsi"/>
          <w:sz w:val="36"/>
          <w:szCs w:val="36"/>
        </w:rPr>
      </w:pPr>
      <w:bookmarkStart w:id="46" w:name="_Toc65657703"/>
      <w:r>
        <w:rPr>
          <w:rFonts w:hint="eastAsia" w:hAnsi="Times New Roman" w:eastAsia="黑体" w:asciiTheme="majorHAnsi"/>
          <w:sz w:val="36"/>
          <w:szCs w:val="36"/>
        </w:rPr>
        <w:t>三、重点任务</w:t>
      </w:r>
      <w:bookmarkEnd w:id="46"/>
    </w:p>
    <w:p>
      <w:pPr>
        <w:pStyle w:val="3"/>
        <w:rPr>
          <w:rFonts w:ascii="楷体" w:hAnsi="楷体" w:eastAsia="楷体"/>
          <w:bCs w:val="0"/>
        </w:rPr>
      </w:pPr>
      <w:bookmarkStart w:id="47" w:name="_Toc65657704"/>
      <w:r>
        <w:rPr>
          <w:rFonts w:hint="eastAsia" w:ascii="楷体" w:hAnsi="楷体" w:eastAsia="楷体"/>
          <w:bCs w:val="0"/>
        </w:rPr>
        <w:t>（一）创新主体育苗造林工程</w:t>
      </w:r>
      <w:bookmarkEnd w:id="40"/>
      <w:bookmarkEnd w:id="47"/>
    </w:p>
    <w:bookmarkEnd w:id="41"/>
    <w:bookmarkEnd w:id="42"/>
    <w:bookmarkEnd w:id="43"/>
    <w:p>
      <w:pPr>
        <w:pStyle w:val="4"/>
        <w:rPr>
          <w:rFonts w:ascii="仿宋" w:hAnsi="仿宋" w:eastAsia="仿宋"/>
          <w:bCs w:val="0"/>
        </w:rPr>
      </w:pPr>
      <w:bookmarkStart w:id="48" w:name="_Toc65657705"/>
      <w:bookmarkStart w:id="49" w:name="_Toc54252346"/>
      <w:bookmarkStart w:id="50" w:name="_Toc459376777"/>
      <w:bookmarkStart w:id="51" w:name="_Toc459378297"/>
      <w:bookmarkStart w:id="52" w:name="_Toc459378181"/>
      <w:r>
        <w:rPr>
          <w:rFonts w:hint="eastAsia" w:ascii="仿宋" w:hAnsi="仿宋" w:eastAsia="仿宋"/>
          <w:bCs w:val="0"/>
        </w:rPr>
        <w:t>1、</w:t>
      </w:r>
      <w:r>
        <w:rPr>
          <w:rFonts w:hint="eastAsia" w:ascii="仿宋" w:hAnsi="仿宋" w:eastAsia="仿宋"/>
        </w:rPr>
        <w:t>“小而美”企业育苗行动</w:t>
      </w:r>
      <w:bookmarkEnd w:id="48"/>
      <w:bookmarkEnd w:id="49"/>
    </w:p>
    <w:p>
      <w:pPr>
        <w:ind w:firstLine="640" w:firstLineChars="200"/>
        <w:rPr>
          <w:rFonts w:hAnsi="Times New Roman" w:eastAsia="仿宋" w:asciiTheme="majorHAnsi"/>
          <w:sz w:val="32"/>
          <w:szCs w:val="32"/>
        </w:rPr>
      </w:pPr>
      <w:r>
        <w:rPr>
          <w:rFonts w:hint="eastAsia" w:hAnsi="Times New Roman" w:eastAsia="仿宋" w:asciiTheme="majorHAnsi"/>
          <w:sz w:val="32"/>
          <w:szCs w:val="32"/>
        </w:rPr>
        <w:t>深入实施“春苗计划”，重点引育一批创新能力强、科技含量高、主营业务突出、管理体系规范、成长性好的“小而美”苗子企业，力争每年招引“小而美”苗子企业30家以上。建立“小而美”苗子企业培育库，落实人才、税收、金融、上市等扶持政策，布局建设特色化、差异化、专业化创新孵化平台。鼓励“小而美”苗子企业围绕区域特色产业和战略性新兴产业，开展共性关键技术攻关，引领全区产业向智能化、数字化、创新化发展，加快推进全区从县域经济向都市经济转变。到2025年，累计培育“小而美”苗子企业</w:t>
      </w:r>
      <w:r>
        <w:rPr>
          <w:rFonts w:hAnsi="Times New Roman" w:eastAsia="仿宋" w:asciiTheme="majorHAnsi"/>
          <w:sz w:val="32"/>
          <w:szCs w:val="32"/>
        </w:rPr>
        <w:t>150</w:t>
      </w:r>
      <w:r>
        <w:rPr>
          <w:rFonts w:hint="eastAsia" w:hAnsi="Times New Roman" w:eastAsia="仿宋" w:asciiTheme="majorHAnsi"/>
          <w:sz w:val="32"/>
          <w:szCs w:val="32"/>
        </w:rPr>
        <w:t>家，“小而美”企业50家。</w:t>
      </w:r>
    </w:p>
    <w:p>
      <w:pPr>
        <w:pStyle w:val="4"/>
        <w:rPr>
          <w:rFonts w:ascii="仿宋" w:hAnsi="仿宋" w:eastAsia="仿宋"/>
          <w:bCs w:val="0"/>
        </w:rPr>
      </w:pPr>
      <w:bookmarkStart w:id="53" w:name="_Toc65657706"/>
      <w:bookmarkStart w:id="54" w:name="_Toc54252347"/>
      <w:r>
        <w:rPr>
          <w:rFonts w:hint="eastAsia" w:ascii="仿宋" w:hAnsi="仿宋" w:eastAsia="仿宋"/>
          <w:bCs w:val="0"/>
        </w:rPr>
        <w:t>2、科技型中小企业造林行动</w:t>
      </w:r>
      <w:bookmarkEnd w:id="53"/>
    </w:p>
    <w:p>
      <w:pPr>
        <w:ind w:firstLine="640" w:firstLineChars="200"/>
        <w:rPr>
          <w:rFonts w:hAnsi="Times New Roman" w:eastAsia="仿宋" w:asciiTheme="majorHAnsi"/>
          <w:sz w:val="32"/>
          <w:szCs w:val="32"/>
        </w:rPr>
      </w:pPr>
      <w:r>
        <w:rPr>
          <w:rFonts w:hint="eastAsia" w:hAnsi="Times New Roman" w:eastAsia="仿宋" w:asciiTheme="majorHAnsi"/>
          <w:sz w:val="32"/>
          <w:szCs w:val="32"/>
        </w:rPr>
        <w:t>加大对科技型初创企业的培育力度，提供创业培训、科技创新、市场拓展、优惠政策等配套服务。将孵化和培育科技型企业作为产业技术研究院、产业创新服务综合体及科技企业孵化器等科技创新平台的重要绩效评价指标。引导和支持各类投资基金与科技创新平台联合组建子基金，共同投资初创期、成长期科技型企业，引导科技创新平台孵化和培育科技型企业。到2025年，累计培育科技型中小企业达到</w:t>
      </w:r>
      <w:r>
        <w:rPr>
          <w:rFonts w:hAnsi="Times New Roman" w:eastAsia="仿宋" w:asciiTheme="majorHAnsi"/>
          <w:sz w:val="32"/>
          <w:szCs w:val="32"/>
        </w:rPr>
        <w:t>2400</w:t>
      </w:r>
      <w:r>
        <w:rPr>
          <w:rFonts w:hint="eastAsia" w:hAnsi="Times New Roman" w:eastAsia="仿宋" w:asciiTheme="majorHAnsi"/>
          <w:sz w:val="32"/>
          <w:szCs w:val="32"/>
        </w:rPr>
        <w:t>家。</w:t>
      </w:r>
    </w:p>
    <w:p>
      <w:pPr>
        <w:pStyle w:val="4"/>
        <w:rPr>
          <w:rFonts w:ascii="仿宋" w:hAnsi="仿宋" w:eastAsia="仿宋"/>
          <w:bCs w:val="0"/>
        </w:rPr>
      </w:pPr>
      <w:bookmarkStart w:id="55" w:name="_Toc54252348"/>
      <w:bookmarkStart w:id="56" w:name="_Toc65657707"/>
      <w:r>
        <w:rPr>
          <w:rFonts w:hint="eastAsia" w:ascii="仿宋" w:hAnsi="仿宋" w:eastAsia="仿宋"/>
          <w:bCs w:val="0"/>
        </w:rPr>
        <w:t>3、高新技术企业增量提质行动</w:t>
      </w:r>
      <w:bookmarkEnd w:id="55"/>
      <w:bookmarkEnd w:id="56"/>
    </w:p>
    <w:p>
      <w:pPr>
        <w:pStyle w:val="16"/>
        <w:ind w:left="0" w:leftChars="0" w:firstLine="640"/>
        <w:rPr>
          <w:rFonts w:hAnsi="Times New Roman" w:eastAsia="仿宋" w:asciiTheme="majorHAnsi"/>
          <w:sz w:val="32"/>
          <w:szCs w:val="32"/>
        </w:rPr>
      </w:pPr>
      <w:r>
        <w:rPr>
          <w:rFonts w:hint="eastAsia" w:hAnsi="Times New Roman" w:eastAsia="仿宋" w:asciiTheme="majorHAnsi"/>
          <w:sz w:val="32"/>
          <w:szCs w:val="32"/>
        </w:rPr>
        <w:t>实施高新技术企业培育专项行动，按照培育一批、推荐一批、认定一批的原则，加大高新技术企业培育力度。建立和完善高新技术企业苗子库，鼓励入库企业对照高新技术企业认定条件，加大研发投入、新产品开发和知识产权保护，加速推进科技成果转化和产业化。鼓励高新技术企业创建各级企业研发机构、产业技术研究院、重点实验室，提升企业自主研发创新能力，努力提升高新技术企业产品科技含量和市场竞争能力。鼓励科技领军型人才（团队）携带成果技术投资领办高技术企业，大力支持助推其成长为国家高新技术企业。到2025年，累计培育国家高新技术企业3</w:t>
      </w:r>
      <w:r>
        <w:rPr>
          <w:rFonts w:hAnsi="Times New Roman" w:eastAsia="仿宋" w:asciiTheme="majorHAnsi"/>
          <w:sz w:val="32"/>
          <w:szCs w:val="32"/>
        </w:rPr>
        <w:t>80</w:t>
      </w:r>
      <w:r>
        <w:rPr>
          <w:rFonts w:hint="eastAsia" w:hAnsi="Times New Roman" w:eastAsia="仿宋" w:asciiTheme="majorHAnsi"/>
          <w:sz w:val="32"/>
          <w:szCs w:val="32"/>
        </w:rPr>
        <w:t>家。</w:t>
      </w:r>
    </w:p>
    <w:p>
      <w:pPr>
        <w:pStyle w:val="4"/>
        <w:rPr>
          <w:rFonts w:ascii="仿宋" w:hAnsi="仿宋" w:eastAsia="仿宋"/>
          <w:bCs w:val="0"/>
        </w:rPr>
      </w:pPr>
      <w:bookmarkStart w:id="57" w:name="_Toc65657708"/>
      <w:r>
        <w:rPr>
          <w:rFonts w:hint="eastAsia" w:ascii="仿宋" w:hAnsi="仿宋" w:eastAsia="仿宋"/>
          <w:bCs w:val="0"/>
        </w:rPr>
        <w:t>4、创新型领军企业引领行动</w:t>
      </w:r>
      <w:bookmarkEnd w:id="54"/>
      <w:bookmarkEnd w:id="57"/>
    </w:p>
    <w:p>
      <w:pPr>
        <w:pStyle w:val="16"/>
        <w:ind w:left="0" w:leftChars="0" w:firstLine="640"/>
        <w:rPr>
          <w:rFonts w:hAnsi="Times New Roman" w:eastAsia="仿宋" w:asciiTheme="majorHAnsi"/>
          <w:sz w:val="32"/>
          <w:szCs w:val="32"/>
        </w:rPr>
      </w:pPr>
      <w:r>
        <w:rPr>
          <w:rFonts w:hint="eastAsia" w:hAnsi="Times New Roman" w:eastAsia="仿宋" w:asciiTheme="majorHAnsi"/>
          <w:sz w:val="32"/>
          <w:szCs w:val="32"/>
        </w:rPr>
        <w:t>围绕“246产业集群”及未来产业发展，做强一批有创新优势的重点企业，引进培育一批有发展潜力、成长性好的创新型领军企业。鼓励龙头企业平台化发展，建设科创综合体，联合上下游企业、科研院所，开展产业链协同创新，优化产业链创新链布局。推动创新资源向骨干企业集聚，引导企业主动承担国家省市重大创新任务，参与国际、国家、行业标准制定。引导企业借助多层次资本市场开展股权和债权融资，鼓励领军企业在科创板等发行上市。到2025年，新增省级创新型领军企业</w:t>
      </w:r>
      <w:r>
        <w:rPr>
          <w:rFonts w:hAnsi="Times New Roman" w:eastAsia="仿宋" w:asciiTheme="majorHAnsi"/>
          <w:sz w:val="32"/>
          <w:szCs w:val="32"/>
        </w:rPr>
        <w:t>3</w:t>
      </w:r>
      <w:r>
        <w:rPr>
          <w:rFonts w:hint="eastAsia" w:hAnsi="Times New Roman" w:eastAsia="仿宋" w:asciiTheme="majorHAnsi"/>
          <w:sz w:val="32"/>
          <w:szCs w:val="32"/>
        </w:rPr>
        <w:t>家，</w:t>
      </w:r>
      <w:r>
        <w:rPr>
          <w:rFonts w:hAnsi="Times New Roman" w:eastAsia="仿宋" w:asciiTheme="majorHAnsi"/>
          <w:sz w:val="32"/>
          <w:szCs w:val="32"/>
        </w:rPr>
        <w:t>2</w:t>
      </w:r>
      <w:r>
        <w:rPr>
          <w:rFonts w:hint="eastAsia" w:hAnsi="Times New Roman" w:eastAsia="仿宋" w:asciiTheme="majorHAnsi"/>
          <w:sz w:val="32"/>
          <w:szCs w:val="32"/>
        </w:rPr>
        <w:t>-</w:t>
      </w:r>
      <w:r>
        <w:rPr>
          <w:rFonts w:hAnsi="Times New Roman" w:eastAsia="仿宋" w:asciiTheme="majorHAnsi"/>
          <w:sz w:val="32"/>
          <w:szCs w:val="32"/>
        </w:rPr>
        <w:t>3</w:t>
      </w:r>
      <w:r>
        <w:rPr>
          <w:rFonts w:hint="eastAsia" w:hAnsi="Times New Roman" w:eastAsia="仿宋" w:asciiTheme="majorHAnsi"/>
          <w:sz w:val="32"/>
          <w:szCs w:val="32"/>
        </w:rPr>
        <w:t>家科技型企业跻身上市公司行列。</w:t>
      </w:r>
    </w:p>
    <w:p>
      <w:pPr>
        <w:pStyle w:val="4"/>
        <w:rPr>
          <w:rFonts w:ascii="仿宋" w:hAnsi="仿宋" w:eastAsia="仿宋"/>
          <w:bCs w:val="0"/>
        </w:rPr>
      </w:pPr>
      <w:bookmarkStart w:id="58" w:name="_Toc65657709"/>
      <w:r>
        <w:rPr>
          <w:rFonts w:hint="eastAsia" w:ascii="仿宋" w:hAnsi="仿宋" w:eastAsia="仿宋"/>
          <w:bCs w:val="0"/>
        </w:rPr>
        <w:t>5、企业研发机构提升行动</w:t>
      </w:r>
      <w:bookmarkEnd w:id="58"/>
    </w:p>
    <w:p>
      <w:pPr>
        <w:spacing w:line="360" w:lineRule="auto"/>
        <w:ind w:firstLine="640" w:firstLineChars="200"/>
        <w:rPr>
          <w:rFonts w:hAnsi="Times New Roman" w:eastAsia="仿宋" w:asciiTheme="majorHAnsi"/>
          <w:b/>
          <w:sz w:val="32"/>
          <w:szCs w:val="32"/>
        </w:rPr>
      </w:pPr>
      <w:r>
        <w:rPr>
          <w:rFonts w:hint="eastAsia" w:hAnsi="Times New Roman" w:eastAsia="仿宋" w:asciiTheme="majorHAnsi"/>
          <w:sz w:val="32"/>
          <w:szCs w:val="32"/>
        </w:rPr>
        <w:t>鼓励和支持应用高新技术和先进适用技术改造提升传统产业效果较为显著的企业建立企业研究院、研发中心、试验基地等各类研发机构。支持企业联合国内外高校科研机构围绕着区域重点产业发展需求，积极建设省级以上企业研发中心、重点实验室，争创国家认定企业技术中心、国家工程技术中心。到2025年，规上企业研发机构设置率达60%，规模以上工业高新技术企业实现研发机构全覆盖。新增省级以上各类研发机构25家以上，建设市级以上重点实验室</w:t>
      </w:r>
      <w:r>
        <w:rPr>
          <w:rFonts w:hAnsi="Times New Roman" w:eastAsia="仿宋" w:asciiTheme="majorHAnsi"/>
          <w:sz w:val="32"/>
          <w:szCs w:val="32"/>
        </w:rPr>
        <w:t>1-2</w:t>
      </w:r>
      <w:r>
        <w:rPr>
          <w:rFonts w:hint="eastAsia" w:hAnsi="Times New Roman" w:eastAsia="仿宋" w:asciiTheme="majorHAnsi"/>
          <w:sz w:val="32"/>
          <w:szCs w:val="32"/>
        </w:rPr>
        <w:t>家，累计培育省级、市级企业研究院达20家以上，市、区级企业工程技术中心达400家以上。</w:t>
      </w:r>
    </w:p>
    <w:bookmarkEnd w:id="50"/>
    <w:bookmarkEnd w:id="51"/>
    <w:bookmarkEnd w:id="52"/>
    <w:p>
      <w:pPr>
        <w:pStyle w:val="3"/>
        <w:rPr>
          <w:rFonts w:ascii="楷体" w:hAnsi="楷体" w:eastAsia="楷体"/>
          <w:bCs w:val="0"/>
        </w:rPr>
      </w:pPr>
      <w:bookmarkStart w:id="59" w:name="_Toc65657710"/>
      <w:bookmarkStart w:id="60" w:name="_Toc54252350"/>
      <w:r>
        <w:rPr>
          <w:rFonts w:hint="eastAsia" w:ascii="楷体" w:hAnsi="楷体" w:eastAsia="楷体"/>
          <w:bCs w:val="0"/>
        </w:rPr>
        <w:t>（二）创新平台扩容提质工程</w:t>
      </w:r>
      <w:bookmarkEnd w:id="59"/>
      <w:bookmarkEnd w:id="60"/>
    </w:p>
    <w:p>
      <w:pPr>
        <w:pStyle w:val="4"/>
        <w:rPr>
          <w:rFonts w:ascii="仿宋" w:hAnsi="仿宋" w:eastAsia="仿宋"/>
          <w:bCs w:val="0"/>
        </w:rPr>
      </w:pPr>
      <w:bookmarkStart w:id="61" w:name="_Toc65657711"/>
      <w:r>
        <w:rPr>
          <w:rFonts w:hint="eastAsia" w:ascii="仿宋" w:hAnsi="仿宋" w:eastAsia="仿宋"/>
          <w:bCs w:val="0"/>
        </w:rPr>
        <w:t>1、高水平建设3号青创大走廊</w:t>
      </w:r>
      <w:bookmarkEnd w:id="61"/>
    </w:p>
    <w:p>
      <w:pPr>
        <w:spacing w:line="360" w:lineRule="auto"/>
        <w:ind w:firstLine="640" w:firstLineChars="200"/>
        <w:rPr>
          <w:rFonts w:hAnsi="Times New Roman" w:eastAsia="仿宋" w:asciiTheme="majorHAnsi"/>
          <w:sz w:val="32"/>
          <w:szCs w:val="32"/>
        </w:rPr>
      </w:pPr>
      <w:bookmarkStart w:id="62" w:name="_Toc54252352"/>
      <w:bookmarkStart w:id="63" w:name="_Toc459378299"/>
      <w:bookmarkStart w:id="64" w:name="_Toc459376779"/>
      <w:bookmarkStart w:id="65" w:name="_Toc459378183"/>
      <w:r>
        <w:rPr>
          <w:rFonts w:hint="eastAsia" w:hAnsi="Times New Roman" w:eastAsia="仿宋" w:asciiTheme="majorHAnsi"/>
          <w:sz w:val="32"/>
          <w:szCs w:val="32"/>
        </w:rPr>
        <w:t>以宁波至奉化轨道交通3号线为主轴，沿线打造以承接宁波市内外科技成果孵化、转移、加速为重点，特色鲜明、分工专业、功能协同的生命科学城、中交智慧城、智能制造城、茗山科技城、滨海低碳城等五大高能级科创平台，形成科创中心布局核心区。加快布局复旦科技园（浙江）创新中心、启迪智能装备（气动）科技园、联东U谷产业园、医疗器械产业园、浙江大学（气动）技术研究中心、国家技术转移东部中心宁波分中心等一批科创专业园、科创孵化平台，高标准培育一批众创空间、创新工场、创新社区和创新服务综合体。推进优质项目签约落地、落地项目加快建设、竣工项目早出成效，努力成为长三角地区重要的科创成果孵化加速区和转化承载地。加快融入市甬江科创大走廊建设，争取纳入甬江科创大走廊两核多节点总体布局，在技术开发、项目招商、政策实施等方面形成联动。</w:t>
      </w:r>
    </w:p>
    <w:tbl>
      <w:tblPr>
        <w:tblStyle w:val="11"/>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077" w:type="dxa"/>
          </w:tcPr>
          <w:p>
            <w:pPr>
              <w:snapToGrid w:val="0"/>
              <w:jc w:val="center"/>
              <w:rPr>
                <w:rFonts w:hAnsi="Times New Roman" w:eastAsia="仿宋" w:asciiTheme="majorHAnsi"/>
                <w:b/>
                <w:sz w:val="28"/>
                <w:szCs w:val="28"/>
              </w:rPr>
            </w:pPr>
            <w:bookmarkStart w:id="66" w:name="_Toc459378293"/>
            <w:bookmarkStart w:id="67" w:name="_Toc459376773"/>
            <w:bookmarkStart w:id="68" w:name="_Toc459378177"/>
            <w:r>
              <w:rPr>
                <w:rFonts w:ascii="黑体" w:hAnsi="黑体" w:eastAsia="黑体"/>
                <w:b/>
                <w:sz w:val="28"/>
                <w:szCs w:val="32"/>
              </w:rPr>
              <w:t>专栏</w:t>
            </w:r>
            <w:r>
              <w:rPr>
                <w:rFonts w:hint="eastAsia" w:ascii="黑体" w:hAnsi="黑体" w:eastAsia="黑体"/>
                <w:b/>
                <w:sz w:val="28"/>
                <w:szCs w:val="32"/>
              </w:rPr>
              <w:t>1</w:t>
            </w:r>
            <w:r>
              <w:rPr>
                <w:rFonts w:ascii="黑体" w:hAnsi="黑体" w:eastAsia="黑体"/>
                <w:b/>
                <w:sz w:val="28"/>
                <w:szCs w:val="32"/>
              </w:rPr>
              <w:t>：</w:t>
            </w:r>
            <w:r>
              <w:rPr>
                <w:rFonts w:hint="eastAsia" w:ascii="黑体" w:hAnsi="黑体" w:eastAsia="黑体"/>
                <w:b/>
                <w:sz w:val="28"/>
                <w:szCs w:val="32"/>
              </w:rPr>
              <w:t>“一轴五城多点”重点科创平台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077" w:type="dxa"/>
          </w:tcPr>
          <w:p>
            <w:pPr>
              <w:snapToGrid w:val="0"/>
              <w:rPr>
                <w:rFonts w:hAnsi="Times New Roman" w:eastAsia="仿宋" w:asciiTheme="majorHAnsi"/>
                <w:b/>
                <w:sz w:val="28"/>
                <w:szCs w:val="28"/>
              </w:rPr>
            </w:pPr>
            <w:r>
              <w:rPr>
                <w:rFonts w:hAnsi="Times New Roman" w:eastAsia="仿宋" w:asciiTheme="majorHAnsi"/>
                <w:b/>
                <w:sz w:val="28"/>
                <w:szCs w:val="28"/>
              </w:rPr>
              <w:t>一、</w:t>
            </w:r>
            <w:r>
              <w:rPr>
                <w:rFonts w:hint="eastAsia" w:hAnsi="Times New Roman" w:eastAsia="仿宋" w:asciiTheme="majorHAnsi"/>
                <w:b/>
                <w:sz w:val="28"/>
                <w:szCs w:val="28"/>
              </w:rPr>
              <w:t>生命科学城</w:t>
            </w:r>
            <w:bookmarkEnd w:id="66"/>
            <w:bookmarkEnd w:id="67"/>
            <w:bookmarkEnd w:id="68"/>
            <w:bookmarkStart w:id="69" w:name="_Toc459378178"/>
            <w:bookmarkStart w:id="70" w:name="_Toc459378294"/>
            <w:bookmarkStart w:id="71" w:name="_Toc459376774"/>
            <w:r>
              <w:rPr>
                <w:rFonts w:hint="eastAsia" w:hAnsi="Times New Roman" w:eastAsia="仿宋" w:asciiTheme="majorHAnsi"/>
                <w:b/>
                <w:sz w:val="28"/>
                <w:szCs w:val="28"/>
              </w:rPr>
              <w:t>：</w:t>
            </w:r>
            <w:r>
              <w:rPr>
                <w:rFonts w:hint="eastAsia" w:hAnsi="仿宋" w:eastAsia="仿宋" w:asciiTheme="majorHAnsi"/>
                <w:bCs/>
                <w:sz w:val="28"/>
                <w:szCs w:val="28"/>
              </w:rPr>
              <w:t>生命健康产业园、宁波生命科学城健康医养中心、宁波健康创新研究院、大学医学院、医学中心、生物基因检测中心等。</w:t>
            </w:r>
          </w:p>
          <w:p>
            <w:pPr>
              <w:snapToGrid w:val="0"/>
              <w:rPr>
                <w:rFonts w:hAnsi="Times New Roman" w:eastAsia="仿宋" w:asciiTheme="majorHAnsi"/>
                <w:b/>
                <w:sz w:val="28"/>
                <w:szCs w:val="28"/>
              </w:rPr>
            </w:pPr>
            <w:r>
              <w:rPr>
                <w:rFonts w:hAnsi="Times New Roman" w:eastAsia="仿宋" w:asciiTheme="majorHAnsi"/>
                <w:b/>
                <w:sz w:val="28"/>
                <w:szCs w:val="28"/>
              </w:rPr>
              <w:t>二、</w:t>
            </w:r>
            <w:bookmarkEnd w:id="69"/>
            <w:bookmarkEnd w:id="70"/>
            <w:bookmarkEnd w:id="71"/>
            <w:r>
              <w:rPr>
                <w:rFonts w:hint="eastAsia" w:hAnsi="Times New Roman" w:eastAsia="仿宋" w:asciiTheme="majorHAnsi"/>
                <w:b/>
                <w:sz w:val="28"/>
                <w:szCs w:val="28"/>
              </w:rPr>
              <w:t>中交智慧城：</w:t>
            </w:r>
            <w:r>
              <w:rPr>
                <w:rFonts w:hint="eastAsia" w:hAnsi="仿宋" w:eastAsia="仿宋" w:asciiTheme="majorHAnsi"/>
                <w:sz w:val="28"/>
                <w:szCs w:val="28"/>
              </w:rPr>
              <w:t>中交·壹里科创云廊、联东U谷·宁波中交科技产业园等。</w:t>
            </w:r>
          </w:p>
          <w:p>
            <w:pPr>
              <w:snapToGrid w:val="0"/>
              <w:rPr>
                <w:rFonts w:hAnsi="Times New Roman" w:eastAsia="仿宋" w:asciiTheme="majorHAnsi"/>
                <w:b/>
                <w:sz w:val="28"/>
                <w:szCs w:val="28"/>
              </w:rPr>
            </w:pPr>
            <w:bookmarkStart w:id="72" w:name="_Toc459378179"/>
            <w:bookmarkStart w:id="73" w:name="_Toc459378295"/>
            <w:bookmarkStart w:id="74" w:name="_Toc459376775"/>
            <w:r>
              <w:rPr>
                <w:rFonts w:hAnsi="Times New Roman" w:eastAsia="仿宋" w:asciiTheme="majorHAnsi"/>
                <w:b/>
                <w:sz w:val="28"/>
                <w:szCs w:val="28"/>
              </w:rPr>
              <w:t>三、</w:t>
            </w:r>
            <w:r>
              <w:rPr>
                <w:rFonts w:hint="eastAsia" w:hAnsi="Times New Roman" w:eastAsia="仿宋" w:asciiTheme="majorHAnsi"/>
                <w:b/>
                <w:sz w:val="28"/>
                <w:szCs w:val="28"/>
              </w:rPr>
              <w:t>智能制造城</w:t>
            </w:r>
            <w:bookmarkEnd w:id="72"/>
            <w:bookmarkEnd w:id="73"/>
            <w:bookmarkEnd w:id="74"/>
            <w:r>
              <w:rPr>
                <w:rFonts w:hint="eastAsia" w:hAnsi="Times New Roman" w:eastAsia="仿宋" w:asciiTheme="majorHAnsi"/>
                <w:b/>
                <w:sz w:val="28"/>
                <w:szCs w:val="28"/>
              </w:rPr>
              <w:t>：</w:t>
            </w:r>
            <w:r>
              <w:rPr>
                <w:rFonts w:hint="eastAsia" w:hAnsi="仿宋" w:eastAsia="仿宋" w:asciiTheme="majorHAnsi"/>
                <w:bCs/>
                <w:sz w:val="28"/>
                <w:szCs w:val="28"/>
              </w:rPr>
              <w:t>浙江大</w:t>
            </w:r>
            <w:r>
              <w:rPr>
                <w:rFonts w:hint="eastAsia" w:hAnsi="仿宋" w:eastAsia="仿宋" w:asciiTheme="majorHAnsi"/>
                <w:sz w:val="28"/>
                <w:szCs w:val="28"/>
              </w:rPr>
              <w:t>学（宁波）气动产业技术研究中心、启迪智能装备（气动）科技园、千人创业园、</w:t>
            </w:r>
            <w:r>
              <w:rPr>
                <w:rFonts w:hint="eastAsia" w:hAnsi="仿宋" w:eastAsia="仿宋" w:asciiTheme="majorHAnsi"/>
                <w:bCs/>
                <w:sz w:val="28"/>
                <w:szCs w:val="28"/>
              </w:rPr>
              <w:t>哈工大技术转移中心、秉航创新型产业综合体、</w:t>
            </w:r>
            <w:r>
              <w:rPr>
                <w:rFonts w:hint="eastAsia" w:hAnsi="仿宋" w:eastAsia="仿宋" w:asciiTheme="majorHAnsi"/>
                <w:sz w:val="28"/>
                <w:szCs w:val="28"/>
              </w:rPr>
              <w:t>中信宁波创新工业综合体等。</w:t>
            </w:r>
          </w:p>
          <w:p>
            <w:pPr>
              <w:snapToGrid w:val="0"/>
              <w:rPr>
                <w:rFonts w:hAnsi="Times New Roman" w:eastAsia="仿宋" w:asciiTheme="majorHAnsi"/>
                <w:b/>
                <w:sz w:val="28"/>
                <w:szCs w:val="28"/>
              </w:rPr>
            </w:pPr>
            <w:bookmarkStart w:id="75" w:name="_Toc459378296"/>
            <w:bookmarkStart w:id="76" w:name="_Toc459376776"/>
            <w:bookmarkStart w:id="77" w:name="_Toc459378180"/>
            <w:r>
              <w:rPr>
                <w:rFonts w:hAnsi="Times New Roman" w:eastAsia="仿宋" w:asciiTheme="majorHAnsi"/>
                <w:b/>
                <w:sz w:val="28"/>
                <w:szCs w:val="28"/>
              </w:rPr>
              <w:t>四、</w:t>
            </w:r>
            <w:r>
              <w:rPr>
                <w:rFonts w:hint="eastAsia" w:hAnsi="Times New Roman" w:eastAsia="仿宋" w:asciiTheme="majorHAnsi"/>
                <w:b/>
                <w:sz w:val="28"/>
                <w:szCs w:val="28"/>
              </w:rPr>
              <w:t>茗山科技城</w:t>
            </w:r>
            <w:bookmarkEnd w:id="75"/>
            <w:bookmarkEnd w:id="76"/>
            <w:bookmarkEnd w:id="77"/>
            <w:r>
              <w:rPr>
                <w:rFonts w:hint="eastAsia" w:hAnsi="Times New Roman" w:eastAsia="仿宋" w:asciiTheme="majorHAnsi"/>
                <w:b/>
                <w:sz w:val="28"/>
                <w:szCs w:val="28"/>
              </w:rPr>
              <w:t>：</w:t>
            </w:r>
            <w:r>
              <w:rPr>
                <w:rFonts w:hint="eastAsia" w:hAnsi="仿宋" w:eastAsia="仿宋" w:asciiTheme="majorHAnsi"/>
                <w:sz w:val="28"/>
                <w:szCs w:val="28"/>
              </w:rPr>
              <w:t>宁波工程学院奉化研究院、复旦科技园（浙江）创新中心、麦博韦尔研究院、锋成纳米材料研究院、瑞凌辐射制冷研究院、瑞嘉通讯技术研究院、瑞晟智能物流研究院、海上鲜智慧海洋产业园、经佳双创基地、移盟科创基地、云弧数字产业综合体、波星通科创综合体等。</w:t>
            </w:r>
          </w:p>
          <w:p>
            <w:pPr>
              <w:snapToGrid w:val="0"/>
              <w:rPr>
                <w:rFonts w:hAnsi="Times New Roman" w:eastAsia="仿宋" w:asciiTheme="majorHAnsi"/>
                <w:b/>
                <w:sz w:val="28"/>
                <w:szCs w:val="28"/>
              </w:rPr>
            </w:pPr>
            <w:r>
              <w:rPr>
                <w:rFonts w:hint="eastAsia" w:hAnsi="Times New Roman" w:eastAsia="仿宋" w:asciiTheme="majorHAnsi"/>
                <w:b/>
                <w:sz w:val="28"/>
                <w:szCs w:val="28"/>
              </w:rPr>
              <w:t>五</w:t>
            </w:r>
            <w:r>
              <w:rPr>
                <w:rFonts w:hAnsi="Times New Roman" w:eastAsia="仿宋" w:asciiTheme="majorHAnsi"/>
                <w:b/>
                <w:sz w:val="28"/>
                <w:szCs w:val="28"/>
              </w:rPr>
              <w:t>、</w:t>
            </w:r>
            <w:r>
              <w:rPr>
                <w:rFonts w:hint="eastAsia" w:hAnsi="Times New Roman" w:eastAsia="仿宋" w:asciiTheme="majorHAnsi"/>
                <w:b/>
                <w:sz w:val="28"/>
                <w:szCs w:val="28"/>
              </w:rPr>
              <w:t>滨海低碳城：</w:t>
            </w:r>
            <w:r>
              <w:rPr>
                <w:rFonts w:hint="eastAsia" w:hAnsi="仿宋" w:eastAsia="仿宋" w:asciiTheme="majorHAnsi"/>
                <w:sz w:val="28"/>
                <w:szCs w:val="28"/>
              </w:rPr>
              <w:t>滨海新区汽车产业园、万洋众创城、置信工业城和兰生智能制造园等。</w:t>
            </w:r>
          </w:p>
        </w:tc>
      </w:tr>
    </w:tbl>
    <w:p>
      <w:pPr>
        <w:pStyle w:val="4"/>
        <w:rPr>
          <w:rFonts w:ascii="仿宋" w:hAnsi="仿宋" w:eastAsia="仿宋"/>
          <w:bCs w:val="0"/>
        </w:rPr>
      </w:pPr>
      <w:bookmarkStart w:id="78" w:name="_Toc65657712"/>
      <w:r>
        <w:rPr>
          <w:rFonts w:hint="eastAsia" w:ascii="仿宋" w:hAnsi="仿宋" w:eastAsia="仿宋"/>
          <w:bCs w:val="0"/>
        </w:rPr>
        <w:t>2、加快建设</w:t>
      </w:r>
      <w:bookmarkEnd w:id="62"/>
      <w:r>
        <w:rPr>
          <w:rFonts w:hint="eastAsia" w:ascii="仿宋" w:hAnsi="仿宋" w:eastAsia="仿宋"/>
          <w:bCs w:val="0"/>
        </w:rPr>
        <w:t>高水平研发机构</w:t>
      </w:r>
      <w:bookmarkEnd w:id="78"/>
    </w:p>
    <w:p>
      <w:pPr>
        <w:spacing w:line="360" w:lineRule="auto"/>
        <w:ind w:firstLine="640" w:firstLineChars="200"/>
        <w:rPr>
          <w:rFonts w:hAnsi="Times New Roman" w:eastAsia="仿宋" w:asciiTheme="majorHAnsi"/>
          <w:sz w:val="32"/>
          <w:szCs w:val="32"/>
        </w:rPr>
      </w:pPr>
      <w:r>
        <w:rPr>
          <w:rFonts w:hint="eastAsia" w:hAnsi="Times New Roman" w:eastAsia="仿宋" w:asciiTheme="majorHAnsi"/>
          <w:sz w:val="32"/>
          <w:szCs w:val="32"/>
        </w:rPr>
        <w:t>深度融入宁波国家自主创新示范区、甬江科创大走廊建设，争取一批重点实验室和技术创新中心等高等级重大科研载体落户。加快大院大所引进培育，聚焦新旧动能转换、块状经济转型升级和未来产业培育发展，新建一批集研究开发、成果转化、衍生孵化和技术服务等工作于一体的新型研发机构。鼓励龙头骨干企业围绕产业发展建设产业技术研究院，推动瑞凌、锋成建设专业领域具有国际影响力和竞争力产业技术研究院。推动新型研发机构与依托单位紧密合作，争取本部资源，开展关键技术攻关、应用技术集成、战略产品研制等技术创新，承接市级以上重大研发和转化项目。完善产业技术研究院绩效评价制度，建立健全集“研发、转化、孵化、招商”功能于一体的发展模式，加快科技企业孵化和成果转化。到2025年，累计集聚产业技术研究院</w:t>
      </w:r>
      <w:r>
        <w:rPr>
          <w:rFonts w:hAnsi="Times New Roman" w:eastAsia="仿宋" w:asciiTheme="majorHAnsi"/>
          <w:sz w:val="32"/>
          <w:szCs w:val="32"/>
        </w:rPr>
        <w:t>8</w:t>
      </w:r>
      <w:r>
        <w:rPr>
          <w:rFonts w:hint="eastAsia" w:hAnsi="Times New Roman" w:eastAsia="仿宋" w:asciiTheme="majorHAnsi"/>
          <w:sz w:val="32"/>
          <w:szCs w:val="32"/>
        </w:rPr>
        <w:t>家以上。</w:t>
      </w:r>
    </w:p>
    <w:p>
      <w:pPr>
        <w:pStyle w:val="4"/>
        <w:rPr>
          <w:rFonts w:ascii="仿宋" w:hAnsi="仿宋" w:eastAsia="仿宋"/>
          <w:bCs w:val="0"/>
        </w:rPr>
      </w:pPr>
      <w:bookmarkStart w:id="79" w:name="_Toc65657713"/>
      <w:bookmarkStart w:id="80" w:name="_Toc54252353"/>
      <w:r>
        <w:rPr>
          <w:rFonts w:hint="eastAsia" w:ascii="仿宋" w:hAnsi="仿宋" w:eastAsia="仿宋"/>
          <w:bCs w:val="0"/>
        </w:rPr>
        <w:t>3、高质量建设产业创新服务综合体</w:t>
      </w:r>
      <w:bookmarkEnd w:id="79"/>
      <w:bookmarkEnd w:id="80"/>
    </w:p>
    <w:p>
      <w:pPr>
        <w:spacing w:line="360" w:lineRule="auto"/>
        <w:ind w:firstLine="561"/>
        <w:rPr>
          <w:rFonts w:hAnsi="Times New Roman" w:eastAsia="仿宋" w:asciiTheme="majorHAnsi"/>
          <w:b/>
          <w:sz w:val="32"/>
          <w:szCs w:val="32"/>
        </w:rPr>
      </w:pPr>
      <w:r>
        <w:rPr>
          <w:rFonts w:hint="eastAsia" w:hAnsi="Times New Roman" w:eastAsia="仿宋" w:asciiTheme="majorHAnsi"/>
          <w:sz w:val="32"/>
          <w:szCs w:val="32"/>
        </w:rPr>
        <w:t>以产业创新公共服务平台为基础，坚持政府引导、企业主体，高校、科研院所、行业协会以及专业机构共同参与，围绕着气动产业、节能环保新材料产业、新能源汽车零配件产业、竹产业和生命健康等区域特色优势产业，聚焦新动能培育和传统动能修复，集聚各类创新资源，积极谋划、整合、培育和建设一批集研究开发、检验检测、标准信息等功能于一体的产业创新服务综合体，为广大中小企业创新发展提供产业、创新、生态、人才、金融、服务等“六链融合”的全链条服务。加快集聚一批科技文献、基础科技资源、数据库、检验检测、知识产权等科技服务机构，构建一站式、市场化运作的公共服务体系。到2025年，累计建设市级以上产业创新服务综合体</w:t>
      </w:r>
      <w:r>
        <w:rPr>
          <w:rFonts w:hAnsi="Times New Roman" w:eastAsia="仿宋" w:asciiTheme="majorHAnsi"/>
          <w:sz w:val="32"/>
          <w:szCs w:val="32"/>
        </w:rPr>
        <w:t>5</w:t>
      </w:r>
      <w:r>
        <w:rPr>
          <w:rFonts w:hint="eastAsia" w:hAnsi="Times New Roman" w:eastAsia="仿宋" w:asciiTheme="majorHAnsi"/>
          <w:sz w:val="32"/>
          <w:szCs w:val="32"/>
        </w:rPr>
        <w:t>个。</w:t>
      </w:r>
    </w:p>
    <w:bookmarkEnd w:id="63"/>
    <w:bookmarkEnd w:id="64"/>
    <w:bookmarkEnd w:id="65"/>
    <w:p>
      <w:pPr>
        <w:pStyle w:val="4"/>
        <w:rPr>
          <w:rFonts w:ascii="仿宋" w:hAnsi="仿宋" w:eastAsia="仿宋"/>
          <w:bCs w:val="0"/>
        </w:rPr>
      </w:pPr>
      <w:bookmarkStart w:id="81" w:name="_Toc54252354"/>
      <w:bookmarkStart w:id="82" w:name="_Toc65657714"/>
      <w:r>
        <w:rPr>
          <w:rFonts w:hint="eastAsia" w:ascii="仿宋" w:hAnsi="仿宋" w:eastAsia="仿宋"/>
          <w:bCs w:val="0"/>
        </w:rPr>
        <w:t>4、加快集聚专业化科技创业孵化平台</w:t>
      </w:r>
      <w:bookmarkEnd w:id="81"/>
      <w:bookmarkEnd w:id="82"/>
    </w:p>
    <w:p>
      <w:pPr>
        <w:adjustRightInd w:val="0"/>
        <w:snapToGrid w:val="0"/>
        <w:spacing w:before="156" w:beforeLines="50" w:after="156" w:afterLines="50" w:line="360" w:lineRule="auto"/>
        <w:ind w:firstLine="642"/>
        <w:rPr>
          <w:rFonts w:hAnsi="Times New Roman" w:eastAsia="仿宋" w:asciiTheme="majorHAnsi"/>
          <w:sz w:val="32"/>
          <w:szCs w:val="32"/>
        </w:rPr>
      </w:pPr>
      <w:r>
        <w:rPr>
          <w:rFonts w:hint="eastAsia" w:hAnsi="Times New Roman" w:eastAsia="仿宋" w:asciiTheme="majorHAnsi"/>
          <w:sz w:val="32"/>
          <w:szCs w:val="32"/>
        </w:rPr>
        <w:t>发挥社会资本和国有资本协同作用，优化提升一批集孵化、科研、中试、服务于一体的众创空间、专业孵化器和加速器，</w:t>
      </w:r>
      <w:r>
        <w:rPr>
          <w:rFonts w:hint="eastAsia" w:hAnsi="Times New Roman" w:eastAsia="仿宋" w:asciiTheme="majorHAnsi"/>
          <w:sz w:val="32"/>
          <w:szCs w:val="32"/>
          <w:lang w:val="zh-TW"/>
        </w:rPr>
        <w:t>着力搭建面向电子信息、高端装备制造、新材料、新能源等领域的中试研发平台</w:t>
      </w:r>
      <w:r>
        <w:rPr>
          <w:rFonts w:hint="eastAsia" w:hAnsi="Times New Roman" w:eastAsia="仿宋" w:asciiTheme="majorHAnsi"/>
          <w:sz w:val="32"/>
          <w:szCs w:val="32"/>
        </w:rPr>
        <w:t>。</w:t>
      </w:r>
      <w:r>
        <w:rPr>
          <w:rFonts w:hint="eastAsia" w:hAnsi="Times New Roman" w:eastAsia="仿宋" w:asciiTheme="majorHAnsi"/>
          <w:sz w:val="32"/>
          <w:szCs w:val="32"/>
          <w:lang w:val="zh-TW"/>
        </w:rPr>
        <w:t>鼓励有条件的创新型领军企业推行内部创客机制，建立服务大众的开放创客平台。加快推进启迪智能装备（气动）科技园、中信宁波创新工业综合体、“小而美”科创园等专业园区建设，创新运行机制，拓展优势企业集聚规模。到2025年，累计建成市级以上众创空间、孵化器1</w:t>
      </w:r>
      <w:r>
        <w:rPr>
          <w:rFonts w:hAnsi="Times New Roman" w:eastAsia="PMingLiU" w:asciiTheme="majorHAnsi"/>
          <w:sz w:val="32"/>
          <w:szCs w:val="32"/>
          <w:lang w:val="zh-TW" w:eastAsia="zh-TW"/>
        </w:rPr>
        <w:t>5</w:t>
      </w:r>
      <w:r>
        <w:rPr>
          <w:rFonts w:hint="eastAsia" w:hAnsi="Times New Roman" w:eastAsia="仿宋" w:asciiTheme="majorHAnsi"/>
          <w:sz w:val="32"/>
          <w:szCs w:val="32"/>
          <w:lang w:val="zh-TW"/>
        </w:rPr>
        <w:t>家，其中省级和国家级众创空间各2家，新培育孵化1000家科技小微企业。</w:t>
      </w:r>
    </w:p>
    <w:p>
      <w:pPr>
        <w:pStyle w:val="3"/>
        <w:rPr>
          <w:rFonts w:ascii="楷体" w:hAnsi="楷体" w:eastAsia="楷体"/>
          <w:bCs w:val="0"/>
        </w:rPr>
      </w:pPr>
      <w:bookmarkStart w:id="83" w:name="_Toc54252355"/>
      <w:bookmarkStart w:id="84" w:name="_Toc65657715"/>
      <w:r>
        <w:rPr>
          <w:rFonts w:hint="eastAsia" w:ascii="楷体" w:hAnsi="楷体" w:eastAsia="楷体"/>
          <w:bCs w:val="0"/>
        </w:rPr>
        <w:t>（三）产业技术支撑引领工程</w:t>
      </w:r>
      <w:bookmarkEnd w:id="83"/>
      <w:bookmarkEnd w:id="84"/>
    </w:p>
    <w:p>
      <w:pPr>
        <w:pStyle w:val="4"/>
        <w:rPr>
          <w:rFonts w:ascii="仿宋" w:hAnsi="仿宋" w:eastAsia="仿宋"/>
          <w:bCs w:val="0"/>
        </w:rPr>
      </w:pPr>
      <w:bookmarkStart w:id="85" w:name="_Toc65657716"/>
      <w:r>
        <w:rPr>
          <w:rFonts w:hint="eastAsia" w:ascii="仿宋" w:hAnsi="仿宋" w:eastAsia="仿宋"/>
          <w:bCs w:val="0"/>
        </w:rPr>
        <w:t>1、加大全社会研发投入</w:t>
      </w:r>
      <w:bookmarkEnd w:id="85"/>
    </w:p>
    <w:p>
      <w:pPr>
        <w:spacing w:line="360" w:lineRule="auto"/>
        <w:ind w:firstLine="640" w:firstLineChars="200"/>
        <w:rPr>
          <w:rFonts w:hAnsi="Times New Roman" w:eastAsia="仿宋" w:asciiTheme="majorHAnsi"/>
          <w:sz w:val="32"/>
          <w:szCs w:val="32"/>
        </w:rPr>
      </w:pPr>
      <w:r>
        <w:rPr>
          <w:rFonts w:hint="eastAsia" w:hAnsi="Times New Roman" w:eastAsia="仿宋" w:asciiTheme="majorHAnsi"/>
          <w:sz w:val="32"/>
          <w:szCs w:val="32"/>
        </w:rPr>
        <w:t>持续推动全社会研发投入，开展规上企业无研发投入“清零”行动，落实研发投入奖励政策，持企业加大研发创新投入力度。集聚优质创新资源，鼓励企业与国内外高校院所、科研机构联合申报实施科技重大专项。充分发挥财政资金的杠杆作用，综合运用项目支持、担保贴息、后补助、股权激励、风险补偿等多元形式，引导全社会加大创新投入。强化点对点跟踪服务，实行一对一跟踪服务与培训指导。到2025年，全社会R&amp;D经费支出占GDP比重力争达到3.</w:t>
      </w:r>
      <w:r>
        <w:rPr>
          <w:rFonts w:hAnsi="Times New Roman" w:eastAsia="仿宋" w:asciiTheme="majorHAnsi"/>
          <w:sz w:val="32"/>
          <w:szCs w:val="32"/>
        </w:rPr>
        <w:t>6</w:t>
      </w:r>
      <w:r>
        <w:rPr>
          <w:rFonts w:hint="eastAsia" w:hAnsi="Times New Roman" w:eastAsia="仿宋" w:asciiTheme="majorHAnsi"/>
          <w:sz w:val="32"/>
          <w:szCs w:val="32"/>
        </w:rPr>
        <w:t>%，规上工业企业R&amp;D经费支出占主营业务收入比重力争达到3%，每万名就业人员中R&amp;D人员数达190人年。</w:t>
      </w:r>
    </w:p>
    <w:p>
      <w:pPr>
        <w:pStyle w:val="4"/>
        <w:rPr>
          <w:rFonts w:ascii="仿宋" w:hAnsi="仿宋" w:eastAsia="仿宋"/>
          <w:bCs w:val="0"/>
        </w:rPr>
      </w:pPr>
      <w:bookmarkStart w:id="86" w:name="_Toc65657717"/>
      <w:bookmarkStart w:id="87" w:name="_Toc54252356"/>
      <w:bookmarkStart w:id="88" w:name="_Toc529341166"/>
      <w:r>
        <w:rPr>
          <w:rFonts w:ascii="仿宋" w:hAnsi="仿宋" w:eastAsia="仿宋"/>
          <w:bCs w:val="0"/>
        </w:rPr>
        <w:t>2</w:t>
      </w:r>
      <w:r>
        <w:rPr>
          <w:rFonts w:hint="eastAsia" w:ascii="仿宋" w:hAnsi="仿宋" w:eastAsia="仿宋"/>
          <w:bCs w:val="0"/>
        </w:rPr>
        <w:t>、开展关键核心技术攻关</w:t>
      </w:r>
      <w:bookmarkEnd w:id="86"/>
    </w:p>
    <w:bookmarkEnd w:id="87"/>
    <w:bookmarkEnd w:id="88"/>
    <w:p>
      <w:pPr>
        <w:adjustRightInd w:val="0"/>
        <w:spacing w:line="600" w:lineRule="exact"/>
        <w:ind w:firstLine="640" w:firstLineChars="200"/>
        <w:rPr>
          <w:rFonts w:ascii="仿宋" w:hAnsi="仿宋" w:eastAsia="仿宋"/>
          <w:sz w:val="32"/>
          <w:szCs w:val="32"/>
        </w:rPr>
      </w:pPr>
      <w:r>
        <w:rPr>
          <w:rFonts w:hint="eastAsia" w:ascii="仿宋" w:hAnsi="仿宋" w:eastAsia="仿宋"/>
          <w:sz w:val="32"/>
          <w:szCs w:val="32"/>
        </w:rPr>
        <w:t>围绕标志性产业链开展产业关键技术、前沿技术梳理，滚动编制产业链关键核心技术和进口替代技术攻关清单。加快实施进口替代战略，围绕着产业关键技术清单，引导和支持</w:t>
      </w:r>
      <w:r>
        <w:rPr>
          <w:rFonts w:hint="eastAsia" w:ascii="仿宋" w:hAnsi="仿宋" w:eastAsia="仿宋" w:cs="仿宋_GB2312"/>
          <w:sz w:val="32"/>
          <w:szCs w:val="30"/>
        </w:rPr>
        <w:t>行业龙头企业牵头，联合国内外高校院所、科技型中小企业等创新资源，组建创新联合体“揭榜攻关”，</w:t>
      </w:r>
      <w:r>
        <w:rPr>
          <w:rFonts w:hint="eastAsia" w:ascii="仿宋" w:hAnsi="仿宋" w:eastAsia="仿宋"/>
          <w:sz w:val="32"/>
          <w:szCs w:val="32"/>
        </w:rPr>
        <w:t>共同申报实施宁波、国家重大科技专项、区“小而美”企业等重大科技攻关项目，着力攻克一批补链、强链的关键核心技术，培育一批对产业链意义重大的技术产品。</w:t>
      </w:r>
      <w:r>
        <w:rPr>
          <w:rFonts w:ascii="仿宋" w:hAnsi="仿宋" w:eastAsia="仿宋"/>
          <w:sz w:val="32"/>
          <w:szCs w:val="32"/>
        </w:rPr>
        <w:t>引导产业链相关中小企业嵌入产业创新体系，聚焦能提升产</w:t>
      </w:r>
      <w:r>
        <w:rPr>
          <w:rFonts w:hint="eastAsia" w:ascii="仿宋" w:hAnsi="仿宋" w:eastAsia="仿宋"/>
          <w:sz w:val="32"/>
          <w:szCs w:val="32"/>
        </w:rPr>
        <w:t>品竞争力、降低生产成本、抢占市场制高点，研发形成一批新产品、新技术、新工艺。</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642" w:type="dxa"/>
          </w:tcPr>
          <w:p>
            <w:pPr>
              <w:adjustRightInd w:val="0"/>
              <w:snapToGrid w:val="0"/>
              <w:jc w:val="center"/>
              <w:rPr>
                <w:rFonts w:hAnsi="Times New Roman" w:eastAsia="仿宋" w:asciiTheme="majorHAnsi"/>
                <w:b/>
                <w:sz w:val="28"/>
                <w:szCs w:val="28"/>
              </w:rPr>
            </w:pPr>
            <w:r>
              <w:rPr>
                <w:rFonts w:hint="eastAsia" w:ascii="黑体" w:hAnsi="黑体" w:eastAsia="黑体"/>
                <w:b/>
                <w:sz w:val="28"/>
                <w:szCs w:val="32"/>
              </w:rPr>
              <w:t>专栏2：关键核心技术攻关计划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tcPr>
          <w:p>
            <w:pPr>
              <w:pStyle w:val="17"/>
              <w:numPr>
                <w:ilvl w:val="0"/>
                <w:numId w:val="1"/>
              </w:numPr>
              <w:adjustRightInd w:val="0"/>
              <w:snapToGrid w:val="0"/>
              <w:ind w:firstLineChars="0"/>
              <w:jc w:val="left"/>
              <w:rPr>
                <w:rFonts w:hAnsi="Times New Roman" w:eastAsia="仿宋" w:asciiTheme="majorHAnsi"/>
                <w:b/>
                <w:sz w:val="28"/>
                <w:szCs w:val="28"/>
              </w:rPr>
            </w:pPr>
            <w:r>
              <w:rPr>
                <w:rFonts w:hint="eastAsia" w:hAnsi="Times New Roman" w:eastAsia="仿宋" w:asciiTheme="majorHAnsi"/>
                <w:b/>
                <w:sz w:val="28"/>
                <w:szCs w:val="28"/>
              </w:rPr>
              <w:t>重点领域新兴产业专项</w:t>
            </w:r>
          </w:p>
          <w:p>
            <w:pPr>
              <w:adjustRightInd w:val="0"/>
              <w:snapToGrid w:val="0"/>
              <w:ind w:firstLine="560" w:firstLineChars="200"/>
              <w:jc w:val="left"/>
              <w:rPr>
                <w:rFonts w:hAnsi="仿宋" w:eastAsia="仿宋" w:asciiTheme="majorHAnsi"/>
                <w:sz w:val="28"/>
                <w:szCs w:val="28"/>
              </w:rPr>
            </w:pPr>
            <w:r>
              <w:rPr>
                <w:rFonts w:hint="eastAsia" w:hAnsi="仿宋" w:eastAsia="仿宋" w:asciiTheme="majorHAnsi"/>
                <w:sz w:val="28"/>
                <w:szCs w:val="28"/>
              </w:rPr>
              <w:t>面向新一代信息技术的智能器件、功能芯片、应用软件、工业互联网、“5G+”、数字经济、智能物流等相关领域技术攻关。</w:t>
            </w:r>
          </w:p>
          <w:p>
            <w:pPr>
              <w:pStyle w:val="17"/>
              <w:numPr>
                <w:ilvl w:val="0"/>
                <w:numId w:val="1"/>
              </w:numPr>
              <w:adjustRightInd w:val="0"/>
              <w:snapToGrid w:val="0"/>
              <w:ind w:firstLineChars="0"/>
              <w:jc w:val="left"/>
              <w:rPr>
                <w:rFonts w:hAnsi="Times New Roman" w:eastAsia="仿宋" w:asciiTheme="majorHAnsi"/>
                <w:b/>
                <w:sz w:val="28"/>
                <w:szCs w:val="28"/>
              </w:rPr>
            </w:pPr>
            <w:r>
              <w:rPr>
                <w:rFonts w:hint="eastAsia" w:hAnsi="Times New Roman" w:eastAsia="仿宋" w:asciiTheme="majorHAnsi"/>
                <w:b/>
                <w:sz w:val="28"/>
                <w:szCs w:val="28"/>
              </w:rPr>
              <w:t>先进材料专项</w:t>
            </w:r>
          </w:p>
          <w:p>
            <w:pPr>
              <w:adjustRightInd w:val="0"/>
              <w:snapToGrid w:val="0"/>
              <w:ind w:firstLine="560" w:firstLineChars="200"/>
              <w:jc w:val="left"/>
              <w:rPr>
                <w:rFonts w:hAnsi="仿宋" w:eastAsia="仿宋" w:asciiTheme="majorHAnsi"/>
                <w:sz w:val="28"/>
                <w:szCs w:val="28"/>
              </w:rPr>
            </w:pPr>
            <w:r>
              <w:rPr>
                <w:rFonts w:hint="eastAsia" w:hAnsi="仿宋" w:eastAsia="仿宋" w:asciiTheme="majorHAnsi"/>
                <w:sz w:val="28"/>
                <w:szCs w:val="28"/>
              </w:rPr>
              <w:t>面向新型能源材料、航空航天新材料、轻纺材料、新型磁性材料、化工新材料、先进半导体及显示材料以及高性能纤维及复合材料、高性能膜材料等关键战略材料攻关。</w:t>
            </w:r>
          </w:p>
          <w:p>
            <w:pPr>
              <w:pStyle w:val="17"/>
              <w:numPr>
                <w:ilvl w:val="0"/>
                <w:numId w:val="1"/>
              </w:numPr>
              <w:adjustRightInd w:val="0"/>
              <w:snapToGrid w:val="0"/>
              <w:ind w:firstLineChars="0"/>
              <w:jc w:val="left"/>
              <w:rPr>
                <w:rFonts w:hAnsi="Times New Roman" w:eastAsia="仿宋" w:asciiTheme="majorHAnsi"/>
                <w:b/>
                <w:sz w:val="28"/>
                <w:szCs w:val="28"/>
              </w:rPr>
            </w:pPr>
            <w:r>
              <w:rPr>
                <w:rFonts w:hint="eastAsia" w:hAnsi="Times New Roman" w:eastAsia="仿宋" w:asciiTheme="majorHAnsi"/>
                <w:b/>
                <w:sz w:val="28"/>
                <w:szCs w:val="28"/>
              </w:rPr>
              <w:t>机器人与高端装备专项</w:t>
            </w:r>
          </w:p>
          <w:p>
            <w:pPr>
              <w:adjustRightInd w:val="0"/>
              <w:snapToGrid w:val="0"/>
              <w:ind w:firstLine="560" w:firstLineChars="200"/>
              <w:jc w:val="left"/>
              <w:rPr>
                <w:rFonts w:hAnsi="仿宋" w:eastAsia="仿宋" w:asciiTheme="majorHAnsi"/>
                <w:sz w:val="28"/>
                <w:szCs w:val="28"/>
              </w:rPr>
            </w:pPr>
            <w:r>
              <w:rPr>
                <w:rFonts w:hint="eastAsia" w:hAnsi="仿宋" w:eastAsia="仿宋" w:asciiTheme="majorHAnsi"/>
                <w:sz w:val="28"/>
                <w:szCs w:val="28"/>
              </w:rPr>
              <w:t>面向机器人与高端装备系统及其关键部件的设计、制造及集成应用等核心技术、先进适用技术攻关。</w:t>
            </w:r>
          </w:p>
          <w:p>
            <w:pPr>
              <w:pStyle w:val="17"/>
              <w:numPr>
                <w:ilvl w:val="0"/>
                <w:numId w:val="1"/>
              </w:numPr>
              <w:adjustRightInd w:val="0"/>
              <w:snapToGrid w:val="0"/>
              <w:ind w:firstLineChars="0"/>
              <w:jc w:val="left"/>
              <w:rPr>
                <w:rFonts w:hAnsi="Times New Roman" w:eastAsia="仿宋" w:asciiTheme="majorHAnsi"/>
                <w:b/>
                <w:sz w:val="28"/>
                <w:szCs w:val="28"/>
              </w:rPr>
            </w:pPr>
            <w:r>
              <w:rPr>
                <w:rFonts w:hint="eastAsia" w:hAnsi="Times New Roman" w:eastAsia="仿宋" w:asciiTheme="majorHAnsi"/>
                <w:b/>
                <w:sz w:val="28"/>
                <w:szCs w:val="28"/>
              </w:rPr>
              <w:t>关键基础零部件专项</w:t>
            </w:r>
          </w:p>
          <w:p>
            <w:pPr>
              <w:adjustRightInd w:val="0"/>
              <w:snapToGrid w:val="0"/>
              <w:ind w:firstLine="560" w:firstLineChars="200"/>
              <w:jc w:val="left"/>
              <w:rPr>
                <w:rFonts w:hAnsi="仿宋" w:eastAsia="仿宋" w:asciiTheme="majorHAnsi"/>
                <w:sz w:val="28"/>
                <w:szCs w:val="28"/>
              </w:rPr>
            </w:pPr>
            <w:r>
              <w:rPr>
                <w:rFonts w:hint="eastAsia" w:hAnsi="仿宋" w:eastAsia="仿宋" w:asciiTheme="majorHAnsi"/>
                <w:sz w:val="28"/>
                <w:szCs w:val="28"/>
              </w:rPr>
              <w:t>面向高端装备制造业的气动元器件及系统、液压元件及系统、电子元件、电真空件、轴承、密封元件、齿轮及传动装置、紧固件等关键零部件和基础工艺的研发制造技术攻关。</w:t>
            </w:r>
          </w:p>
          <w:p>
            <w:pPr>
              <w:pStyle w:val="17"/>
              <w:numPr>
                <w:ilvl w:val="0"/>
                <w:numId w:val="1"/>
              </w:numPr>
              <w:adjustRightInd w:val="0"/>
              <w:snapToGrid w:val="0"/>
              <w:ind w:firstLineChars="0"/>
              <w:jc w:val="left"/>
              <w:rPr>
                <w:rFonts w:hAnsi="Times New Roman" w:eastAsia="仿宋" w:asciiTheme="majorHAnsi"/>
                <w:b/>
                <w:sz w:val="28"/>
                <w:szCs w:val="28"/>
              </w:rPr>
            </w:pPr>
            <w:r>
              <w:rPr>
                <w:rFonts w:hint="eastAsia" w:hAnsi="Times New Roman" w:eastAsia="仿宋" w:asciiTheme="majorHAnsi"/>
                <w:b/>
                <w:sz w:val="28"/>
                <w:szCs w:val="28"/>
              </w:rPr>
              <w:t>新能源与节能环保专项</w:t>
            </w:r>
          </w:p>
          <w:p>
            <w:pPr>
              <w:adjustRightInd w:val="0"/>
              <w:snapToGrid w:val="0"/>
              <w:ind w:firstLine="560" w:firstLineChars="200"/>
              <w:jc w:val="left"/>
              <w:rPr>
                <w:rFonts w:hAnsi="仿宋" w:eastAsia="仿宋" w:asciiTheme="majorHAnsi"/>
                <w:sz w:val="28"/>
                <w:szCs w:val="28"/>
              </w:rPr>
            </w:pPr>
            <w:r>
              <w:rPr>
                <w:rFonts w:hint="eastAsia" w:hAnsi="仿宋" w:eastAsia="仿宋" w:asciiTheme="majorHAnsi"/>
                <w:sz w:val="28"/>
                <w:szCs w:val="28"/>
              </w:rPr>
              <w:t>面向绿色照明、锂电池、智能微网等新能源核心技术的研究与开发，工业生产、建筑、交通运输节能降耗等先进技术、设备的研发，固废安全处置与循环利用、垃圾处理、大气治理等重大技术难题开展攻关。</w:t>
            </w:r>
          </w:p>
          <w:p>
            <w:pPr>
              <w:pStyle w:val="17"/>
              <w:numPr>
                <w:ilvl w:val="0"/>
                <w:numId w:val="1"/>
              </w:numPr>
              <w:adjustRightInd w:val="0"/>
              <w:snapToGrid w:val="0"/>
              <w:ind w:firstLineChars="0"/>
              <w:jc w:val="left"/>
              <w:rPr>
                <w:rFonts w:hAnsi="Times New Roman" w:eastAsia="仿宋" w:asciiTheme="majorHAnsi"/>
                <w:b/>
                <w:sz w:val="28"/>
                <w:szCs w:val="28"/>
              </w:rPr>
            </w:pPr>
            <w:r>
              <w:rPr>
                <w:rFonts w:hint="eastAsia" w:hAnsi="Times New Roman" w:eastAsia="仿宋" w:asciiTheme="majorHAnsi"/>
                <w:b/>
                <w:sz w:val="28"/>
                <w:szCs w:val="28"/>
              </w:rPr>
              <w:t>汽车及关键零部件专项</w:t>
            </w:r>
          </w:p>
          <w:p>
            <w:pPr>
              <w:adjustRightInd w:val="0"/>
              <w:snapToGrid w:val="0"/>
              <w:ind w:firstLine="560" w:firstLineChars="200"/>
              <w:jc w:val="left"/>
              <w:rPr>
                <w:rFonts w:hAnsi="仿宋" w:eastAsia="仿宋" w:asciiTheme="majorHAnsi"/>
                <w:sz w:val="28"/>
                <w:szCs w:val="28"/>
              </w:rPr>
            </w:pPr>
            <w:r>
              <w:rPr>
                <w:rFonts w:hint="eastAsia" w:hAnsi="仿宋" w:eastAsia="仿宋" w:asciiTheme="majorHAnsi"/>
                <w:sz w:val="28"/>
                <w:szCs w:val="28"/>
              </w:rPr>
              <w:t>面向</w:t>
            </w:r>
            <w:r>
              <w:rPr>
                <w:rFonts w:hAnsi="仿宋" w:eastAsia="仿宋" w:asciiTheme="majorHAnsi"/>
                <w:sz w:val="28"/>
                <w:szCs w:val="28"/>
              </w:rPr>
              <w:t>新能源汽车用动力电池技术、结构件轻量化技术、</w:t>
            </w:r>
            <w:r>
              <w:rPr>
                <w:rFonts w:hint="eastAsia" w:hAnsi="仿宋" w:eastAsia="仿宋" w:asciiTheme="majorHAnsi"/>
                <w:sz w:val="28"/>
                <w:szCs w:val="28"/>
              </w:rPr>
              <w:t>智能网联汽车及</w:t>
            </w:r>
            <w:r>
              <w:rPr>
                <w:rFonts w:hAnsi="仿宋" w:eastAsia="仿宋" w:asciiTheme="majorHAnsi"/>
                <w:sz w:val="28"/>
                <w:szCs w:val="28"/>
              </w:rPr>
              <w:t>汽车零部件关键技术等研发及应用</w:t>
            </w:r>
            <w:r>
              <w:rPr>
                <w:rFonts w:hint="eastAsia" w:hAnsi="仿宋" w:eastAsia="仿宋" w:asciiTheme="majorHAnsi"/>
                <w:sz w:val="28"/>
                <w:szCs w:val="28"/>
              </w:rPr>
              <w:t>。</w:t>
            </w:r>
          </w:p>
          <w:p>
            <w:pPr>
              <w:pStyle w:val="17"/>
              <w:numPr>
                <w:ilvl w:val="0"/>
                <w:numId w:val="1"/>
              </w:numPr>
              <w:adjustRightInd w:val="0"/>
              <w:snapToGrid w:val="0"/>
              <w:ind w:firstLineChars="0"/>
              <w:jc w:val="left"/>
              <w:rPr>
                <w:rFonts w:hAnsi="Times New Roman" w:eastAsia="仿宋" w:asciiTheme="majorHAnsi"/>
                <w:b/>
                <w:sz w:val="28"/>
                <w:szCs w:val="28"/>
              </w:rPr>
            </w:pPr>
            <w:r>
              <w:rPr>
                <w:rFonts w:hint="eastAsia" w:hAnsi="Times New Roman" w:eastAsia="仿宋" w:asciiTheme="majorHAnsi"/>
                <w:b/>
                <w:sz w:val="28"/>
                <w:szCs w:val="28"/>
              </w:rPr>
              <w:t>生物医药与高性能医疗器械专项</w:t>
            </w:r>
          </w:p>
          <w:p>
            <w:pPr>
              <w:adjustRightInd w:val="0"/>
              <w:snapToGrid w:val="0"/>
              <w:ind w:firstLine="560" w:firstLineChars="200"/>
              <w:jc w:val="left"/>
              <w:rPr>
                <w:rFonts w:hAnsi="仿宋" w:eastAsia="仿宋" w:asciiTheme="majorHAnsi"/>
                <w:sz w:val="28"/>
                <w:szCs w:val="28"/>
              </w:rPr>
            </w:pPr>
            <w:r>
              <w:rPr>
                <w:rFonts w:hint="eastAsia" w:hAnsi="仿宋" w:eastAsia="仿宋" w:asciiTheme="majorHAnsi"/>
                <w:sz w:val="28"/>
                <w:szCs w:val="28"/>
              </w:rPr>
              <w:t>面向智能诊疗、新型体外诊断、康复装备 、医学与公共卫生检测、生物医用材料与介植入器械、生物医药等领域关键核心技术攻关。</w:t>
            </w:r>
          </w:p>
          <w:p>
            <w:pPr>
              <w:pStyle w:val="17"/>
              <w:numPr>
                <w:ilvl w:val="0"/>
                <w:numId w:val="1"/>
              </w:numPr>
              <w:adjustRightInd w:val="0"/>
              <w:snapToGrid w:val="0"/>
              <w:ind w:firstLineChars="0"/>
              <w:jc w:val="left"/>
              <w:rPr>
                <w:rFonts w:hAnsi="Times New Roman" w:eastAsia="仿宋" w:asciiTheme="majorHAnsi"/>
                <w:b/>
                <w:sz w:val="28"/>
                <w:szCs w:val="28"/>
              </w:rPr>
            </w:pPr>
            <w:r>
              <w:rPr>
                <w:rFonts w:hint="eastAsia" w:hAnsi="Times New Roman" w:eastAsia="仿宋" w:asciiTheme="majorHAnsi"/>
                <w:b/>
                <w:sz w:val="28"/>
                <w:szCs w:val="28"/>
              </w:rPr>
              <w:t>现代种业专项</w:t>
            </w:r>
          </w:p>
          <w:p>
            <w:pPr>
              <w:adjustRightInd w:val="0"/>
              <w:snapToGrid w:val="0"/>
              <w:ind w:firstLine="560" w:firstLineChars="200"/>
              <w:jc w:val="left"/>
              <w:rPr>
                <w:rFonts w:ascii="仿宋" w:hAnsi="仿宋" w:eastAsia="仿宋"/>
                <w:sz w:val="32"/>
                <w:szCs w:val="32"/>
              </w:rPr>
            </w:pPr>
            <w:r>
              <w:rPr>
                <w:rFonts w:hint="eastAsia" w:hAnsi="仿宋" w:eastAsia="仿宋" w:asciiTheme="majorHAnsi"/>
                <w:sz w:val="28"/>
                <w:szCs w:val="28"/>
              </w:rPr>
              <w:t>面向优质种养殖新品种选育，生态高效种养殖技术、禽畜重大疫病免疫新技术、动植物病虫害防治技术研究，智慧农业、农产品精深加工等装备及关键技术研究。</w:t>
            </w:r>
          </w:p>
        </w:tc>
      </w:tr>
    </w:tbl>
    <w:p>
      <w:pPr>
        <w:pStyle w:val="4"/>
        <w:rPr>
          <w:rFonts w:ascii="仿宋" w:hAnsi="仿宋" w:eastAsia="仿宋"/>
          <w:bCs w:val="0"/>
        </w:rPr>
      </w:pPr>
      <w:bookmarkStart w:id="89" w:name="_Toc65657718"/>
      <w:r>
        <w:rPr>
          <w:rFonts w:ascii="仿宋" w:hAnsi="仿宋" w:eastAsia="仿宋"/>
          <w:bCs w:val="0"/>
        </w:rPr>
        <w:t>3</w:t>
      </w:r>
      <w:r>
        <w:rPr>
          <w:rFonts w:hint="eastAsia" w:ascii="仿宋" w:hAnsi="仿宋" w:eastAsia="仿宋"/>
          <w:bCs w:val="0"/>
        </w:rPr>
        <w:t>、加快新兴产业培育发展</w:t>
      </w:r>
      <w:bookmarkEnd w:id="89"/>
    </w:p>
    <w:p>
      <w:pPr>
        <w:spacing w:line="360" w:lineRule="auto"/>
        <w:ind w:firstLine="640" w:firstLineChars="200"/>
        <w:jc w:val="left"/>
        <w:rPr>
          <w:rFonts w:ascii="Times New Roman" w:hAnsi="Times New Roman" w:eastAsia="仿宋"/>
          <w:sz w:val="32"/>
          <w:szCs w:val="32"/>
        </w:rPr>
      </w:pPr>
      <w:r>
        <w:rPr>
          <w:rFonts w:ascii="Times New Roman" w:hAnsi="Times New Roman" w:eastAsia="仿宋"/>
          <w:sz w:val="32"/>
          <w:szCs w:val="32"/>
        </w:rPr>
        <w:t>聚焦产业变革需求，</w:t>
      </w:r>
      <w:r>
        <w:rPr>
          <w:rFonts w:hint="eastAsia" w:ascii="Times New Roman" w:hAnsi="Times New Roman" w:eastAsia="仿宋"/>
          <w:sz w:val="32"/>
          <w:szCs w:val="32"/>
        </w:rPr>
        <w:t>在医疗健康、智能制造、先进能源等重点方向，加强前沿技术研究，取得一批原创新技术成果。积极争取市“前沿引领技术2</w:t>
      </w:r>
      <w:r>
        <w:rPr>
          <w:rFonts w:ascii="Times New Roman" w:hAnsi="Times New Roman" w:eastAsia="仿宋"/>
          <w:sz w:val="32"/>
          <w:szCs w:val="32"/>
        </w:rPr>
        <w:t>035</w:t>
      </w:r>
      <w:r>
        <w:rPr>
          <w:rFonts w:hint="eastAsia" w:ascii="Times New Roman" w:hAnsi="Times New Roman" w:eastAsia="仿宋"/>
          <w:sz w:val="32"/>
          <w:szCs w:val="32"/>
        </w:rPr>
        <w:t>计划”支持，</w:t>
      </w:r>
      <w:r>
        <w:rPr>
          <w:rFonts w:ascii="Times New Roman" w:hAnsi="Times New Roman" w:eastAsia="仿宋"/>
          <w:sz w:val="32"/>
          <w:szCs w:val="32"/>
        </w:rPr>
        <w:t>开展前沿技术和颠覆性技术研发，加强技术储备，提升产业基础能级</w:t>
      </w:r>
      <w:r>
        <w:rPr>
          <w:rFonts w:hint="eastAsia" w:ascii="Times New Roman" w:hAnsi="Times New Roman" w:eastAsia="仿宋"/>
          <w:sz w:val="32"/>
          <w:szCs w:val="32"/>
        </w:rPr>
        <w:t>，</w:t>
      </w:r>
      <w:r>
        <w:rPr>
          <w:rFonts w:ascii="Times New Roman" w:hAnsi="Times New Roman" w:eastAsia="仿宋"/>
          <w:sz w:val="32"/>
          <w:szCs w:val="32"/>
        </w:rPr>
        <w:t>抢占未来产业发展先机。</w:t>
      </w:r>
      <w:r>
        <w:rPr>
          <w:rFonts w:hint="eastAsia" w:ascii="Times New Roman" w:hAnsi="Times New Roman" w:eastAsia="仿宋"/>
          <w:sz w:val="32"/>
          <w:szCs w:val="32"/>
        </w:rPr>
        <w:t>加快</w:t>
      </w:r>
      <w:r>
        <w:rPr>
          <w:rFonts w:ascii="仿宋" w:hAnsi="仿宋" w:eastAsia="仿宋"/>
          <w:sz w:val="32"/>
          <w:szCs w:val="32"/>
        </w:rPr>
        <w:t>打造一批标杆性应用场景，</w:t>
      </w:r>
      <w:r>
        <w:rPr>
          <w:rFonts w:hint="eastAsia" w:ascii="仿宋" w:hAnsi="仿宋" w:eastAsia="仿宋"/>
          <w:sz w:val="32"/>
          <w:szCs w:val="32"/>
        </w:rPr>
        <w:t>以应用场景来驱动关键技术研发、场景试验、应用推广和标准制定，推动新兴产业的加速发展。</w:t>
      </w:r>
      <w:r>
        <w:rPr>
          <w:rFonts w:ascii="Times New Roman" w:hAnsi="Times New Roman" w:eastAsia="仿宋"/>
          <w:sz w:val="32"/>
          <w:szCs w:val="32"/>
        </w:rPr>
        <w:t>实施新一代人工智能发展行动，率先在人机物智能协同、新一代人工智能应用、产业生态构建等方面形成示范效应。</w:t>
      </w:r>
    </w:p>
    <w:p>
      <w:pPr>
        <w:pStyle w:val="4"/>
        <w:rPr>
          <w:rFonts w:ascii="仿宋" w:hAnsi="仿宋" w:eastAsia="仿宋"/>
          <w:bCs w:val="0"/>
        </w:rPr>
      </w:pPr>
      <w:bookmarkStart w:id="90" w:name="_Toc54252380"/>
      <w:bookmarkStart w:id="91" w:name="_Toc65657719"/>
      <w:bookmarkStart w:id="92" w:name="_Toc459378188"/>
      <w:bookmarkStart w:id="93" w:name="_Toc459376784"/>
      <w:bookmarkStart w:id="94" w:name="_Toc459378304"/>
      <w:r>
        <w:rPr>
          <w:rFonts w:ascii="仿宋" w:hAnsi="仿宋" w:eastAsia="仿宋"/>
          <w:bCs w:val="0"/>
        </w:rPr>
        <w:t>4</w:t>
      </w:r>
      <w:r>
        <w:rPr>
          <w:rFonts w:hint="eastAsia" w:ascii="仿宋" w:hAnsi="仿宋" w:eastAsia="仿宋"/>
          <w:bCs w:val="0"/>
        </w:rPr>
        <w:t>、大力发展高技术服务业</w:t>
      </w:r>
      <w:bookmarkEnd w:id="90"/>
      <w:bookmarkEnd w:id="91"/>
    </w:p>
    <w:p>
      <w:pPr>
        <w:spacing w:line="360" w:lineRule="auto"/>
        <w:ind w:firstLine="640" w:firstLineChars="200"/>
        <w:rPr>
          <w:rFonts w:hAnsi="Times New Roman" w:eastAsia="仿宋" w:asciiTheme="majorHAnsi"/>
          <w:b/>
          <w:sz w:val="32"/>
          <w:szCs w:val="32"/>
        </w:rPr>
      </w:pPr>
      <w:bookmarkStart w:id="95" w:name="_Toc459376808"/>
      <w:bookmarkStart w:id="96" w:name="_Toc459378328"/>
      <w:bookmarkStart w:id="97" w:name="_Toc459378212"/>
      <w:r>
        <w:rPr>
          <w:rFonts w:hint="eastAsia" w:hAnsi="Times New Roman" w:eastAsia="仿宋" w:asciiTheme="majorHAnsi"/>
          <w:sz w:val="32"/>
          <w:szCs w:val="32"/>
        </w:rPr>
        <w:t>开展科技服务业提升行动，围绕研发设计、技术转移、科技信息、创业孵化、知识产权、科技金融以及专业技术服务等领域，开展科技服务平台建设、科技服务机构培育和引进、科技服务人才引育等方面工作，提升科技服务专业化水平，释放市场化服务机构活力，加强科技服务业对经济社会发展的支撑引领作用，形成覆盖创新创业全链条的科技创新综合服务体系，着力激发各类创新主体创新创业活力。到2025年，新引进和培育各类科技服务机构</w:t>
      </w:r>
      <w:r>
        <w:rPr>
          <w:rFonts w:hAnsi="Times New Roman" w:eastAsia="仿宋" w:asciiTheme="majorHAnsi"/>
          <w:sz w:val="32"/>
          <w:szCs w:val="32"/>
        </w:rPr>
        <w:t>10</w:t>
      </w:r>
      <w:r>
        <w:rPr>
          <w:rFonts w:hint="eastAsia" w:hAnsi="Times New Roman" w:eastAsia="仿宋" w:asciiTheme="majorHAnsi"/>
          <w:sz w:val="32"/>
          <w:szCs w:val="32"/>
        </w:rPr>
        <w:t>家以上。</w:t>
      </w:r>
      <w:bookmarkEnd w:id="95"/>
      <w:bookmarkEnd w:id="96"/>
      <w:bookmarkEnd w:id="97"/>
    </w:p>
    <w:bookmarkEnd w:id="92"/>
    <w:bookmarkEnd w:id="93"/>
    <w:bookmarkEnd w:id="94"/>
    <w:p>
      <w:pPr>
        <w:pStyle w:val="3"/>
        <w:rPr>
          <w:rFonts w:ascii="楷体" w:hAnsi="楷体" w:eastAsia="楷体"/>
          <w:bCs w:val="0"/>
        </w:rPr>
      </w:pPr>
      <w:bookmarkStart w:id="98" w:name="_Toc65657720"/>
      <w:bookmarkStart w:id="99" w:name="_Toc54252359"/>
      <w:r>
        <w:rPr>
          <w:rFonts w:hint="eastAsia" w:ascii="楷体" w:hAnsi="楷体" w:eastAsia="楷体"/>
          <w:bCs w:val="0"/>
        </w:rPr>
        <w:t>（四）开放协同创新推进工程</w:t>
      </w:r>
      <w:bookmarkEnd w:id="98"/>
      <w:bookmarkEnd w:id="99"/>
    </w:p>
    <w:p>
      <w:pPr>
        <w:pStyle w:val="4"/>
        <w:rPr>
          <w:rFonts w:ascii="仿宋" w:hAnsi="仿宋" w:eastAsia="仿宋"/>
          <w:bCs w:val="0"/>
        </w:rPr>
      </w:pPr>
      <w:bookmarkStart w:id="100" w:name="_Toc65657721"/>
      <w:bookmarkStart w:id="101" w:name="_Toc54252360"/>
      <w:r>
        <w:rPr>
          <w:rFonts w:hint="eastAsia" w:ascii="仿宋" w:hAnsi="仿宋" w:eastAsia="仿宋"/>
          <w:bCs w:val="0"/>
        </w:rPr>
        <w:t>1、构建产学研协同创新机制</w:t>
      </w:r>
      <w:bookmarkEnd w:id="100"/>
      <w:bookmarkEnd w:id="101"/>
    </w:p>
    <w:p>
      <w:pPr>
        <w:ind w:firstLine="640" w:firstLineChars="200"/>
        <w:rPr>
          <w:rFonts w:hAnsi="Times New Roman" w:eastAsia="仿宋" w:asciiTheme="majorHAnsi"/>
          <w:b/>
          <w:sz w:val="32"/>
          <w:szCs w:val="32"/>
        </w:rPr>
      </w:pPr>
      <w:r>
        <w:rPr>
          <w:rFonts w:hint="eastAsia" w:ascii="Times New Roman" w:hAnsi="Times New Roman" w:eastAsia="仿宋"/>
          <w:sz w:val="32"/>
          <w:szCs w:val="32"/>
        </w:rPr>
        <w:t>加强产学研合作，支持企业举办各类大型技术论坛、行业峰会和创新赛事等活动，鼓励企业联合高校、科研院所共建产业技术创新联盟、联合实验室、创新中心、</w:t>
      </w:r>
      <w:r>
        <w:rPr>
          <w:rFonts w:hint="eastAsia" w:hAnsi="Times New Roman" w:eastAsia="仿宋" w:asciiTheme="majorHAnsi"/>
          <w:sz w:val="32"/>
          <w:szCs w:val="32"/>
        </w:rPr>
        <w:t>科学创新基地或博士工作站、博士后工作站等创新平台，</w:t>
      </w:r>
      <w:r>
        <w:rPr>
          <w:rFonts w:hint="eastAsia" w:ascii="Times New Roman" w:hAnsi="Times New Roman" w:eastAsia="仿宋"/>
          <w:sz w:val="32"/>
          <w:szCs w:val="32"/>
        </w:rPr>
        <w:t>共同开展研究开发、成果应用与推广、标准研究与制定等活动</w:t>
      </w:r>
      <w:r>
        <w:rPr>
          <w:rFonts w:hint="eastAsia" w:hAnsi="Times New Roman" w:eastAsia="仿宋" w:asciiTheme="majorHAnsi"/>
          <w:sz w:val="32"/>
          <w:szCs w:val="32"/>
        </w:rPr>
        <w:t>。推动企业与浙江医药高等专科学校等本地院校的合作，围绕生命健康产业领域开展技术攻关和协同创新。探索建立科学仪器设备共享平台、科技数据共享平台，实现区域内科研设施互联互通、共享共用。到2025年，推动5</w:t>
      </w:r>
      <w:r>
        <w:rPr>
          <w:rFonts w:hAnsi="Times New Roman" w:eastAsia="仿宋" w:asciiTheme="majorHAnsi"/>
          <w:sz w:val="32"/>
          <w:szCs w:val="32"/>
        </w:rPr>
        <w:t>0</w:t>
      </w:r>
      <w:r>
        <w:rPr>
          <w:rFonts w:hint="eastAsia" w:hAnsi="Times New Roman" w:eastAsia="仿宋" w:asciiTheme="majorHAnsi"/>
          <w:sz w:val="32"/>
          <w:szCs w:val="32"/>
        </w:rPr>
        <w:t>家以上企业与高校科研院所建立合作关系。</w:t>
      </w:r>
    </w:p>
    <w:p>
      <w:pPr>
        <w:pStyle w:val="4"/>
        <w:rPr>
          <w:rFonts w:ascii="仿宋" w:hAnsi="仿宋" w:eastAsia="仿宋"/>
          <w:bCs w:val="0"/>
        </w:rPr>
      </w:pPr>
      <w:bookmarkStart w:id="102" w:name="_Toc54252362"/>
      <w:bookmarkStart w:id="103" w:name="_Toc65657722"/>
      <w:r>
        <w:rPr>
          <w:rFonts w:hint="eastAsia" w:ascii="仿宋" w:hAnsi="仿宋" w:eastAsia="仿宋"/>
          <w:bCs w:val="0"/>
        </w:rPr>
        <w:t>2、完善科技成果转化机制</w:t>
      </w:r>
      <w:bookmarkEnd w:id="102"/>
      <w:bookmarkEnd w:id="103"/>
    </w:p>
    <w:p>
      <w:pPr>
        <w:ind w:firstLine="640" w:firstLineChars="200"/>
        <w:rPr>
          <w:rFonts w:hAnsi="Times New Roman" w:eastAsia="仿宋" w:asciiTheme="majorHAnsi"/>
          <w:sz w:val="32"/>
          <w:szCs w:val="32"/>
        </w:rPr>
      </w:pPr>
      <w:r>
        <w:rPr>
          <w:rFonts w:hint="eastAsia" w:hAnsi="Times New Roman" w:eastAsia="仿宋" w:asciiTheme="majorHAnsi"/>
          <w:sz w:val="32"/>
          <w:szCs w:val="32"/>
        </w:rPr>
        <w:t>建立甬江科创大走廊创新成果接续机制，争取大院大所在奉化设立技术转移部门，探索引入技术经理人全程参与科技成果转化全过程机制，推动甬江科创大走廊创新成果在奉化产业化应用。落实政府采购优先使用本土自主创新产品政策，加大对首次投放市场、具有核心知识产权但暂不具备市场竞争力的创新产品的采购应用力度。充分对接市科技大市场2</w:t>
      </w:r>
      <w:r>
        <w:rPr>
          <w:rFonts w:hAnsi="Times New Roman" w:eastAsia="仿宋" w:asciiTheme="majorHAnsi"/>
          <w:sz w:val="32"/>
          <w:szCs w:val="32"/>
        </w:rPr>
        <w:t>.0</w:t>
      </w:r>
      <w:r>
        <w:rPr>
          <w:rFonts w:hint="eastAsia" w:hAnsi="Times New Roman" w:eastAsia="仿宋" w:asciiTheme="majorHAnsi"/>
          <w:sz w:val="32"/>
          <w:szCs w:val="32"/>
        </w:rPr>
        <w:t>版本建设，</w:t>
      </w:r>
      <w:r>
        <w:rPr>
          <w:rFonts w:ascii="仿宋" w:hAnsi="仿宋" w:eastAsia="仿宋"/>
          <w:sz w:val="32"/>
          <w:szCs w:val="32"/>
        </w:rPr>
        <w:t>建设具有区域特色的专业技术市场。</w:t>
      </w:r>
      <w:r>
        <w:rPr>
          <w:rFonts w:hint="eastAsia" w:hAnsi="Times New Roman" w:eastAsia="仿宋" w:asciiTheme="majorHAnsi"/>
          <w:sz w:val="32"/>
          <w:szCs w:val="32"/>
        </w:rPr>
        <w:t>支持高等院校、科研机构和企业设立技术转移部门，加大技术经纪人培育力度，支持国内外技术转移机构来奉化建立分支机构。到2025年，引进和培育市级以上技术转移机构</w:t>
      </w:r>
      <w:r>
        <w:rPr>
          <w:rFonts w:hAnsi="Times New Roman" w:eastAsia="仿宋" w:asciiTheme="majorHAnsi"/>
          <w:sz w:val="32"/>
          <w:szCs w:val="32"/>
        </w:rPr>
        <w:t>10</w:t>
      </w:r>
      <w:r>
        <w:rPr>
          <w:rFonts w:hint="eastAsia" w:hAnsi="Times New Roman" w:eastAsia="仿宋" w:asciiTheme="majorHAnsi"/>
          <w:sz w:val="32"/>
          <w:szCs w:val="32"/>
        </w:rPr>
        <w:t>家以上，实现技术交易额达20亿元。</w:t>
      </w:r>
    </w:p>
    <w:p>
      <w:pPr>
        <w:pStyle w:val="4"/>
        <w:rPr>
          <w:rFonts w:ascii="仿宋" w:hAnsi="仿宋" w:eastAsia="仿宋"/>
          <w:bCs w:val="0"/>
        </w:rPr>
      </w:pPr>
      <w:bookmarkStart w:id="104" w:name="_Toc65657723"/>
      <w:bookmarkStart w:id="105" w:name="_Toc54252363"/>
      <w:bookmarkStart w:id="106" w:name="_Toc459378312"/>
      <w:bookmarkStart w:id="107" w:name="_Toc459376792"/>
      <w:bookmarkStart w:id="108" w:name="_Toc459378196"/>
      <w:r>
        <w:rPr>
          <w:rFonts w:hint="eastAsia" w:ascii="仿宋" w:hAnsi="仿宋" w:eastAsia="仿宋"/>
          <w:bCs w:val="0"/>
        </w:rPr>
        <w:t>3、推进多层次科技开放合作</w:t>
      </w:r>
      <w:bookmarkEnd w:id="104"/>
      <w:bookmarkEnd w:id="105"/>
    </w:p>
    <w:p>
      <w:pPr>
        <w:adjustRightInd w:val="0"/>
        <w:snapToGrid w:val="0"/>
        <w:spacing w:before="156" w:beforeLines="50" w:after="156" w:afterLines="50" w:line="360" w:lineRule="auto"/>
        <w:ind w:firstLine="642"/>
        <w:rPr>
          <w:rFonts w:hAnsi="Times New Roman" w:eastAsia="仿宋" w:asciiTheme="majorHAnsi"/>
          <w:b/>
          <w:sz w:val="32"/>
          <w:szCs w:val="32"/>
        </w:rPr>
      </w:pPr>
      <w:r>
        <w:rPr>
          <w:rFonts w:hint="eastAsia" w:hAnsi="Times New Roman" w:eastAsia="仿宋" w:asciiTheme="majorHAnsi"/>
          <w:sz w:val="32"/>
          <w:szCs w:val="32"/>
        </w:rPr>
        <w:t>鼓励和引导企业开拓欧美、“一带一路”沿线国家（地区）等新兴市场，鼓励有条件的园区、企业单独或联合在海外建立研发机构，离岸实验室、技术合作平台、孵化器或创新园区等。深化与长三角区域中心城市、重点高校和重大产业平台合作交流，主动承接上海、杭州等功能外溢和产业转移。深入实施“科创飞地”协同借智工程，进一步发挥“科创飞地”的创新孵化作用，完善“在外孵化—来奉加速—在奉投产”的科创培育链，实现科技项目异地孵化，科技成果在奉转化，形成“引入种子”（招引）→“放入苗圃”（入孵化器）→“育成树苗”（入加速器）→“成就大树”（产业化发展）的良性发展闭环。加强与嵊州、新昌、舟山等区域的联动发展，加强城市群协同创新。到2025年，累计建成“科创飞地”</w:t>
      </w:r>
      <w:r>
        <w:rPr>
          <w:rFonts w:hAnsi="Times New Roman" w:eastAsia="仿宋" w:asciiTheme="majorHAnsi"/>
          <w:sz w:val="32"/>
          <w:szCs w:val="32"/>
        </w:rPr>
        <w:t>8</w:t>
      </w:r>
      <w:r>
        <w:rPr>
          <w:rFonts w:hint="eastAsia" w:hAnsi="Times New Roman" w:eastAsia="仿宋" w:asciiTheme="majorHAnsi"/>
          <w:sz w:val="32"/>
          <w:szCs w:val="32"/>
        </w:rPr>
        <w:t>个以上，与区外团队协同承担重大科技项目比例超过30%。</w:t>
      </w:r>
    </w:p>
    <w:bookmarkEnd w:id="106"/>
    <w:bookmarkEnd w:id="107"/>
    <w:bookmarkEnd w:id="108"/>
    <w:p>
      <w:pPr>
        <w:pStyle w:val="3"/>
        <w:rPr>
          <w:rFonts w:ascii="楷体" w:hAnsi="楷体" w:eastAsia="楷体"/>
          <w:bCs w:val="0"/>
        </w:rPr>
      </w:pPr>
      <w:bookmarkStart w:id="109" w:name="_Toc65657724"/>
      <w:bookmarkStart w:id="110" w:name="_Toc55832272"/>
      <w:bookmarkStart w:id="111" w:name="_Toc54252364"/>
      <w:r>
        <w:rPr>
          <w:rFonts w:hint="eastAsia" w:ascii="楷体" w:hAnsi="楷体" w:eastAsia="楷体"/>
          <w:bCs w:val="0"/>
        </w:rPr>
        <w:t>（五）科技惠农惠民提升工程</w:t>
      </w:r>
      <w:bookmarkEnd w:id="109"/>
      <w:bookmarkEnd w:id="110"/>
      <w:bookmarkEnd w:id="111"/>
    </w:p>
    <w:p>
      <w:pPr>
        <w:pStyle w:val="4"/>
        <w:rPr>
          <w:rFonts w:ascii="仿宋" w:hAnsi="仿宋" w:eastAsia="仿宋"/>
          <w:bCs w:val="0"/>
        </w:rPr>
      </w:pPr>
      <w:bookmarkStart w:id="112" w:name="_Toc54252365"/>
      <w:bookmarkStart w:id="113" w:name="_Toc65657725"/>
      <w:r>
        <w:rPr>
          <w:rFonts w:hint="eastAsia" w:ascii="仿宋" w:hAnsi="仿宋" w:eastAsia="仿宋"/>
          <w:bCs w:val="0"/>
        </w:rPr>
        <w:t>1、科技创新惠农行动</w:t>
      </w:r>
      <w:bookmarkEnd w:id="112"/>
      <w:bookmarkEnd w:id="113"/>
    </w:p>
    <w:p>
      <w:pPr>
        <w:adjustRightInd w:val="0"/>
        <w:snapToGrid w:val="0"/>
        <w:spacing w:before="156" w:beforeLines="50" w:after="156" w:afterLines="50" w:line="360" w:lineRule="auto"/>
        <w:ind w:firstLine="642"/>
        <w:rPr>
          <w:rFonts w:hint="default" w:hAnsi="Times New Roman" w:eastAsia="仿宋" w:asciiTheme="majorHAnsi"/>
          <w:sz w:val="32"/>
          <w:szCs w:val="32"/>
          <w:lang w:val="en-US" w:eastAsia="zh-CN"/>
        </w:rPr>
      </w:pPr>
      <w:r>
        <w:rPr>
          <w:rFonts w:hint="eastAsia" w:hAnsi="Times New Roman" w:eastAsia="仿宋" w:asciiTheme="majorHAnsi"/>
          <w:sz w:val="32"/>
          <w:szCs w:val="32"/>
        </w:rPr>
        <w:t>支持引进、试验、示范和推广品质优良、市场前景广阔的新品种，鼓励农业经营主体大力开展水蜜桃、水产养殖等品种试验，建立健全新品种品比试验、展示和示范推广体系。</w:t>
      </w:r>
      <w:r>
        <w:rPr>
          <w:rFonts w:hint="eastAsia" w:hAnsi="Times New Roman" w:eastAsia="仿宋" w:asciiTheme="majorHAnsi"/>
          <w:sz w:val="32"/>
          <w:szCs w:val="32"/>
          <w:lang w:eastAsia="zh-CN"/>
        </w:rPr>
        <w:t>鼓励竹笋、花卉、</w:t>
      </w:r>
      <w:r>
        <w:rPr>
          <w:rFonts w:hint="eastAsia" w:hAnsi="Times New Roman" w:eastAsia="仿宋" w:asciiTheme="majorHAnsi"/>
          <w:sz w:val="32"/>
          <w:szCs w:val="32"/>
        </w:rPr>
        <w:t>水蜜桃、茶叶</w:t>
      </w:r>
      <w:r>
        <w:rPr>
          <w:rFonts w:hint="eastAsia" w:hAnsi="Times New Roman" w:eastAsia="仿宋" w:asciiTheme="majorHAnsi"/>
          <w:sz w:val="32"/>
          <w:szCs w:val="32"/>
          <w:lang w:eastAsia="zh-CN"/>
        </w:rPr>
        <w:t>、粮食作物种植及水产、畜禽养殖等领域，依托高校、科研院所优质资源，开展农产品优质高产、动植物疫病检测与防控、安全健康种养殖工艺与环境控制、农产品精深加工关键技术攻关，促进农业增效、农民增收；落实碳达峰、碳中和要求，</w:t>
      </w:r>
      <w:r>
        <w:rPr>
          <w:rFonts w:hint="eastAsia" w:hAnsi="Times New Roman" w:eastAsia="仿宋" w:asciiTheme="majorHAnsi"/>
          <w:sz w:val="32"/>
          <w:szCs w:val="32"/>
        </w:rPr>
        <w:t>支持农业经营主体加大科技应用和设施投入，</w:t>
      </w:r>
      <w:r>
        <w:rPr>
          <w:rFonts w:hint="eastAsia" w:hAnsi="Times New Roman" w:eastAsia="仿宋" w:asciiTheme="majorHAnsi"/>
          <w:sz w:val="32"/>
          <w:szCs w:val="32"/>
          <w:lang w:eastAsia="zh-CN"/>
        </w:rPr>
        <w:t>加快农业面源污染治理、农业废弃物资源化利用、绿色防控等技术的推广应用，积极争创国家农业可持续发展试验示范区暨农业绿色发展先行示范区。到</w:t>
      </w:r>
      <w:r>
        <w:rPr>
          <w:rFonts w:hint="eastAsia" w:hAnsi="Times New Roman" w:eastAsia="仿宋" w:asciiTheme="majorHAnsi"/>
          <w:sz w:val="32"/>
          <w:szCs w:val="32"/>
          <w:lang w:val="en-US" w:eastAsia="zh-CN"/>
        </w:rPr>
        <w:t>2025年，引育各类农业新品种10个以上，组织实施农业科技计划项目50项以上。</w:t>
      </w:r>
    </w:p>
    <w:p>
      <w:pPr>
        <w:pStyle w:val="4"/>
        <w:rPr>
          <w:rFonts w:ascii="仿宋" w:hAnsi="仿宋" w:eastAsia="仿宋"/>
          <w:bCs w:val="0"/>
        </w:rPr>
      </w:pPr>
      <w:bookmarkStart w:id="114" w:name="_Toc459378206"/>
      <w:bookmarkStart w:id="115" w:name="_Toc459378322"/>
      <w:bookmarkStart w:id="116" w:name="_Toc459376802"/>
      <w:bookmarkStart w:id="117" w:name="_Toc65657726"/>
      <w:bookmarkStart w:id="118" w:name="_Toc54252366"/>
      <w:r>
        <w:rPr>
          <w:rFonts w:hint="eastAsia" w:ascii="仿宋" w:hAnsi="仿宋" w:eastAsia="仿宋"/>
          <w:bCs w:val="0"/>
        </w:rPr>
        <w:t>2、健康生态惠民</w:t>
      </w:r>
      <w:bookmarkEnd w:id="114"/>
      <w:bookmarkEnd w:id="115"/>
      <w:bookmarkEnd w:id="116"/>
      <w:r>
        <w:rPr>
          <w:rFonts w:hint="eastAsia" w:ascii="仿宋" w:hAnsi="仿宋" w:eastAsia="仿宋"/>
          <w:bCs w:val="0"/>
        </w:rPr>
        <w:t>行动</w:t>
      </w:r>
      <w:bookmarkEnd w:id="117"/>
      <w:bookmarkEnd w:id="118"/>
    </w:p>
    <w:p>
      <w:pPr>
        <w:adjustRightInd w:val="0"/>
        <w:snapToGrid w:val="0"/>
        <w:spacing w:before="156" w:beforeLines="50" w:after="156" w:afterLines="50" w:line="360" w:lineRule="auto"/>
        <w:ind w:firstLine="642"/>
        <w:rPr>
          <w:rFonts w:hint="default" w:hAnsi="Times New Roman" w:eastAsia="仿宋" w:asciiTheme="majorHAnsi"/>
          <w:sz w:val="32"/>
          <w:szCs w:val="32"/>
          <w:lang w:val="en-US" w:eastAsia="zh-CN"/>
        </w:rPr>
      </w:pPr>
      <w:r>
        <w:rPr>
          <w:rFonts w:hint="eastAsia" w:hAnsi="Times New Roman" w:eastAsia="仿宋" w:asciiTheme="majorHAnsi"/>
          <w:sz w:val="32"/>
          <w:szCs w:val="32"/>
        </w:rPr>
        <w:t>强化开展疾病诊疗技术研究、临床医学成果推广、健康人才队伍及产业培育，推进医疗器械、生物医药、健康养老等大健康产业发展。集聚宁波市第一医院、浙江医</w:t>
      </w:r>
      <w:r>
        <w:rPr>
          <w:rFonts w:hint="eastAsia" w:hAnsi="Times New Roman" w:eastAsia="仿宋" w:asciiTheme="majorHAnsi"/>
          <w:sz w:val="32"/>
          <w:szCs w:val="32"/>
          <w:lang w:eastAsia="zh-CN"/>
        </w:rPr>
        <w:t>药科职业大学</w:t>
      </w:r>
      <w:r>
        <w:rPr>
          <w:rFonts w:hint="eastAsia" w:hAnsi="Times New Roman" w:eastAsia="仿宋" w:asciiTheme="majorHAnsi"/>
          <w:sz w:val="32"/>
          <w:szCs w:val="32"/>
        </w:rPr>
        <w:t>和知名医学院校优质资源，打造省级区域医疗中心、浙东健康经济支点和长三角前沿医疗新高地。贯彻可持续发展理念，推动文化、旅游等产业与数字技术深度融合，催生壮大数字绿色新示范。加强科技、文化元素在景观设计中的融入，促进科技创新与精神文明、生态文明有机融合。加大社会事业科技扶持力度，推广普及先进适用科技成果，支持公共安全、生态环境、防灾减灾等领域共性关键技术攻关。</w:t>
      </w:r>
      <w:r>
        <w:rPr>
          <w:rFonts w:hint="eastAsia" w:hAnsi="Times New Roman" w:eastAsia="仿宋" w:asciiTheme="majorHAnsi"/>
          <w:sz w:val="32"/>
          <w:szCs w:val="32"/>
          <w:lang w:eastAsia="zh-CN"/>
        </w:rPr>
        <w:t>支持鼓励</w:t>
      </w:r>
      <w:r>
        <w:rPr>
          <w:rFonts w:hint="eastAsia" w:hAnsi="Times New Roman" w:eastAsia="仿宋" w:asciiTheme="majorHAnsi"/>
          <w:sz w:val="32"/>
          <w:szCs w:val="32"/>
        </w:rPr>
        <w:t>聚焦智慧医疗、智慧养老、智慧政务、智慧城管、智慧交通、智慧物流等各类数字社会应用场景</w:t>
      </w:r>
      <w:r>
        <w:rPr>
          <w:rFonts w:hint="eastAsia" w:hAnsi="Times New Roman" w:eastAsia="仿宋" w:asciiTheme="majorHAnsi"/>
          <w:sz w:val="32"/>
          <w:szCs w:val="32"/>
          <w:lang w:eastAsia="zh-CN"/>
        </w:rPr>
        <w:t>建设和</w:t>
      </w:r>
      <w:r>
        <w:rPr>
          <w:rFonts w:hint="eastAsia" w:hAnsi="Times New Roman" w:eastAsia="仿宋" w:asciiTheme="majorHAnsi"/>
          <w:sz w:val="32"/>
          <w:szCs w:val="32"/>
        </w:rPr>
        <w:t>新能源汽车充电桩、智能电网等新型科技基础设施建设，</w:t>
      </w:r>
      <w:r>
        <w:rPr>
          <w:rFonts w:hint="eastAsia" w:hAnsi="Times New Roman" w:eastAsia="仿宋" w:asciiTheme="majorHAnsi"/>
          <w:sz w:val="32"/>
          <w:szCs w:val="32"/>
          <w:lang w:eastAsia="zh-CN"/>
        </w:rPr>
        <w:t>加快推进</w:t>
      </w:r>
      <w:r>
        <w:rPr>
          <w:rFonts w:hint="eastAsia" w:hAnsi="Times New Roman" w:eastAsia="仿宋" w:asciiTheme="majorHAnsi"/>
          <w:sz w:val="32"/>
          <w:szCs w:val="32"/>
        </w:rPr>
        <w:t>新一代信息技术与智慧城市建设紧密融合。</w:t>
      </w:r>
      <w:r>
        <w:rPr>
          <w:rFonts w:hint="eastAsia" w:hAnsi="Times New Roman" w:eastAsia="仿宋" w:asciiTheme="majorHAnsi"/>
          <w:sz w:val="32"/>
          <w:szCs w:val="32"/>
          <w:lang w:eastAsia="zh-CN"/>
        </w:rPr>
        <w:t>到</w:t>
      </w:r>
      <w:r>
        <w:rPr>
          <w:rFonts w:hint="eastAsia" w:hAnsi="Times New Roman" w:eastAsia="仿宋" w:asciiTheme="majorHAnsi"/>
          <w:sz w:val="32"/>
          <w:szCs w:val="32"/>
          <w:lang w:val="en-US" w:eastAsia="zh-CN"/>
        </w:rPr>
        <w:t>2025年，组织实施社会发展类科技计划项目50项以上。</w:t>
      </w:r>
    </w:p>
    <w:p>
      <w:pPr>
        <w:pStyle w:val="4"/>
        <w:rPr>
          <w:rFonts w:ascii="仿宋" w:hAnsi="仿宋" w:eastAsia="仿宋"/>
          <w:bCs w:val="0"/>
        </w:rPr>
      </w:pPr>
      <w:bookmarkStart w:id="119" w:name="_Toc54252367"/>
      <w:bookmarkStart w:id="120" w:name="_Toc65657727"/>
      <w:r>
        <w:rPr>
          <w:rFonts w:hint="eastAsia" w:ascii="仿宋" w:hAnsi="仿宋" w:eastAsia="仿宋"/>
          <w:bCs w:val="0"/>
        </w:rPr>
        <w:t>3、智慧</w:t>
      </w:r>
      <w:r>
        <w:rPr>
          <w:rFonts w:hint="eastAsia" w:ascii="仿宋" w:hAnsi="仿宋" w:eastAsia="仿宋"/>
          <w:bCs w:val="0"/>
          <w:lang w:eastAsia="zh-CN"/>
        </w:rPr>
        <w:t>农业</w:t>
      </w:r>
      <w:r>
        <w:rPr>
          <w:rFonts w:hint="eastAsia" w:ascii="仿宋" w:hAnsi="仿宋" w:eastAsia="仿宋"/>
          <w:bCs w:val="0"/>
        </w:rPr>
        <w:t>提升行动</w:t>
      </w:r>
      <w:bookmarkEnd w:id="119"/>
      <w:bookmarkEnd w:id="120"/>
    </w:p>
    <w:p>
      <w:pPr>
        <w:adjustRightInd w:val="0"/>
        <w:snapToGrid w:val="0"/>
        <w:spacing w:before="156" w:beforeLines="50" w:after="156" w:afterLines="50" w:line="360" w:lineRule="auto"/>
        <w:ind w:firstLine="642"/>
        <w:rPr>
          <w:rFonts w:hAnsi="Times New Roman" w:eastAsia="仿宋" w:asciiTheme="majorHAnsi"/>
          <w:sz w:val="32"/>
          <w:szCs w:val="32"/>
        </w:rPr>
      </w:pPr>
      <w:r>
        <w:rPr>
          <w:rFonts w:hint="eastAsia" w:hAnsi="Times New Roman" w:eastAsia="仿宋" w:asciiTheme="majorHAnsi"/>
          <w:sz w:val="32"/>
          <w:szCs w:val="32"/>
          <w:lang w:eastAsia="zh-CN"/>
        </w:rPr>
        <w:t>围绕“互联网</w:t>
      </w:r>
      <w:r>
        <w:rPr>
          <w:rFonts w:hint="eastAsia" w:hAnsi="Times New Roman" w:eastAsia="仿宋" w:asciiTheme="majorHAnsi"/>
          <w:sz w:val="32"/>
          <w:szCs w:val="32"/>
          <w:lang w:val="en-US" w:eastAsia="zh-CN"/>
        </w:rPr>
        <w:t>+”创新高地建设，</w:t>
      </w:r>
      <w:r>
        <w:rPr>
          <w:rFonts w:hint="eastAsia" w:hAnsi="Times New Roman" w:eastAsia="仿宋" w:asciiTheme="majorHAnsi"/>
          <w:sz w:val="32"/>
          <w:szCs w:val="32"/>
        </w:rPr>
        <w:t>推进5G、人工智能、大数据等数字</w:t>
      </w:r>
      <w:r>
        <w:rPr>
          <w:rFonts w:hint="eastAsia" w:hAnsi="Times New Roman" w:eastAsia="仿宋" w:asciiTheme="majorHAnsi"/>
          <w:sz w:val="32"/>
          <w:szCs w:val="32"/>
          <w:lang w:eastAsia="zh-CN"/>
        </w:rPr>
        <w:t>科技与农业深度融合</w:t>
      </w:r>
      <w:r>
        <w:rPr>
          <w:rFonts w:hint="eastAsia" w:hAnsi="Times New Roman" w:eastAsia="仿宋" w:asciiTheme="majorHAnsi"/>
          <w:sz w:val="32"/>
          <w:szCs w:val="32"/>
        </w:rPr>
        <w:t>，</w:t>
      </w:r>
      <w:r>
        <w:rPr>
          <w:rFonts w:hint="eastAsia" w:hAnsi="Times New Roman" w:eastAsia="仿宋" w:asciiTheme="majorHAnsi"/>
          <w:sz w:val="32"/>
          <w:szCs w:val="32"/>
          <w:lang w:eastAsia="zh-CN"/>
        </w:rPr>
        <w:t>促进农业生产方式和商业模式的创新。</w:t>
      </w:r>
      <w:r>
        <w:rPr>
          <w:rFonts w:hint="eastAsia" w:hAnsi="Times New Roman" w:eastAsia="仿宋" w:asciiTheme="majorHAnsi"/>
          <w:sz w:val="32"/>
          <w:szCs w:val="32"/>
        </w:rPr>
        <w:t>加快农业领域“机器换人”步伐，着力解决农业生产、加工环节的机械化发展瓶颈，加快粮油、蔬菜、瓜果种植及畜禽、渔业养殖等环节装备升级，加大避雨栽培、温控栽培、智能水肥、农产品冷链、数字农业等农业装备投入，有效提升农业设施装备水平。加快农业创业平台培育，全面推进“两进两回”行动，支持鼓励大学生、乡贤等主体回乡创业。加快新一代信息技术在农业产业链关键环节的应用，</w:t>
      </w:r>
      <w:r>
        <w:rPr>
          <w:rFonts w:hint="eastAsia" w:hAnsi="Times New Roman" w:eastAsia="仿宋" w:asciiTheme="majorHAnsi"/>
          <w:sz w:val="32"/>
          <w:szCs w:val="32"/>
          <w:lang w:eastAsia="zh-CN"/>
        </w:rPr>
        <w:t>重点加大对水蜜桃、芋艿头、草莓、竹笋、茶叶等主导特色农业的智慧化、数字化、信息化技术的应用、示范与推广；加快推进农产品可追溯体系的建设，实现生产有记录、流向可追踪、信息可查询、质量可追溯</w:t>
      </w:r>
      <w:r>
        <w:rPr>
          <w:rFonts w:hint="eastAsia" w:hAnsi="Times New Roman" w:eastAsia="仿宋" w:asciiTheme="majorHAnsi"/>
          <w:sz w:val="32"/>
          <w:szCs w:val="32"/>
        </w:rPr>
        <w:t>。</w:t>
      </w:r>
      <w:r>
        <w:rPr>
          <w:rFonts w:hint="eastAsia" w:hAnsi="Times New Roman" w:eastAsia="仿宋" w:asciiTheme="majorHAnsi"/>
          <w:sz w:val="32"/>
          <w:szCs w:val="32"/>
          <w:lang w:eastAsia="zh-CN"/>
        </w:rPr>
        <w:t>力争到</w:t>
      </w:r>
      <w:r>
        <w:rPr>
          <w:rFonts w:hint="eastAsia" w:hAnsi="Times New Roman" w:eastAsia="仿宋" w:asciiTheme="majorHAnsi"/>
          <w:sz w:val="32"/>
          <w:szCs w:val="32"/>
          <w:lang w:val="en-US" w:eastAsia="zh-CN"/>
        </w:rPr>
        <w:t>2025年，建设5个以上智慧农业示范园区</w:t>
      </w:r>
      <w:r>
        <w:rPr>
          <w:rFonts w:hint="eastAsia" w:hAnsi="Times New Roman" w:eastAsia="仿宋" w:asciiTheme="majorHAnsi"/>
          <w:sz w:val="32"/>
          <w:szCs w:val="32"/>
        </w:rPr>
        <w:t>。</w:t>
      </w:r>
    </w:p>
    <w:p>
      <w:pPr>
        <w:pStyle w:val="3"/>
        <w:rPr>
          <w:rFonts w:ascii="楷体" w:hAnsi="楷体" w:eastAsia="楷体"/>
          <w:bCs w:val="0"/>
        </w:rPr>
      </w:pPr>
      <w:bookmarkStart w:id="121" w:name="_Toc65657728"/>
      <w:bookmarkStart w:id="122" w:name="_Toc54252369"/>
      <w:r>
        <w:rPr>
          <w:rFonts w:hint="eastAsia" w:ascii="楷体" w:hAnsi="楷体" w:eastAsia="楷体"/>
          <w:bCs w:val="0"/>
        </w:rPr>
        <w:t>（六）创新人才引育支撑工程</w:t>
      </w:r>
      <w:bookmarkEnd w:id="121"/>
      <w:bookmarkEnd w:id="122"/>
    </w:p>
    <w:p>
      <w:pPr>
        <w:pStyle w:val="4"/>
        <w:rPr>
          <w:rFonts w:ascii="仿宋" w:hAnsi="仿宋" w:eastAsia="仿宋"/>
          <w:bCs w:val="0"/>
        </w:rPr>
      </w:pPr>
      <w:bookmarkStart w:id="123" w:name="_Toc65657729"/>
      <w:bookmarkStart w:id="124" w:name="_Toc54252373"/>
      <w:bookmarkStart w:id="125" w:name="_Toc54252374"/>
      <w:r>
        <w:rPr>
          <w:rFonts w:ascii="仿宋" w:hAnsi="仿宋" w:eastAsia="仿宋"/>
          <w:bCs w:val="0"/>
        </w:rPr>
        <w:t>1</w:t>
      </w:r>
      <w:r>
        <w:rPr>
          <w:rFonts w:hint="eastAsia" w:ascii="仿宋" w:hAnsi="仿宋" w:eastAsia="仿宋"/>
          <w:bCs w:val="0"/>
        </w:rPr>
        <w:t>、引育基础实用人才</w:t>
      </w:r>
      <w:bookmarkEnd w:id="123"/>
      <w:bookmarkEnd w:id="124"/>
    </w:p>
    <w:p>
      <w:pPr>
        <w:spacing w:line="360" w:lineRule="auto"/>
        <w:ind w:firstLine="640"/>
        <w:rPr>
          <w:rFonts w:hAnsi="仿宋" w:eastAsia="仿宋" w:cs="仿宋_GB2312" w:asciiTheme="majorHAnsi"/>
          <w:sz w:val="32"/>
          <w:szCs w:val="30"/>
        </w:rPr>
      </w:pPr>
      <w:r>
        <w:rPr>
          <w:rFonts w:hint="eastAsia" w:hAnsi="仿宋" w:eastAsia="仿宋" w:cs="仿宋_GB2312" w:asciiTheme="majorHAnsi"/>
          <w:sz w:val="32"/>
          <w:szCs w:val="30"/>
        </w:rPr>
        <w:t>壮大经营管理人才队伍，引导企业家适应创新发展和“走出去”战略，提升国际化管理创新和跨文化经营能力。壮大专业技术人才队伍，加大教育、医疗、文化、农业等领域专业人才引育力度，加强名师名医名家等工作室建设，形成一支数量充足、结构合理、素质良好的专业技术人才队伍。实施基础实用人才引育工程，壮大经营管理人才、专业技术人才、技能人才队伍，大力实施“奉化工匠”成才计划和“技能兴奉”提升行动，构建产教训融合、政企社协同、育选用贯通的高技能人才培育体系。</w:t>
      </w:r>
      <w:bookmarkEnd w:id="125"/>
      <w:r>
        <w:rPr>
          <w:rFonts w:hint="eastAsia" w:hAnsi="仿宋" w:eastAsia="仿宋" w:cs="仿宋_GB2312" w:asciiTheme="majorHAnsi"/>
          <w:sz w:val="32"/>
          <w:szCs w:val="30"/>
        </w:rPr>
        <w:t>到2025年，建成高水平职业教育基地1个，新增高技能人才2.5万名。</w:t>
      </w:r>
    </w:p>
    <w:p>
      <w:pPr>
        <w:pStyle w:val="4"/>
        <w:rPr>
          <w:rFonts w:ascii="仿宋" w:hAnsi="仿宋" w:eastAsia="仿宋"/>
          <w:bCs w:val="0"/>
        </w:rPr>
      </w:pPr>
      <w:bookmarkStart w:id="126" w:name="_Toc65657730"/>
      <w:bookmarkStart w:id="127" w:name="_Toc54252372"/>
      <w:r>
        <w:rPr>
          <w:rFonts w:hint="eastAsia" w:ascii="仿宋" w:hAnsi="仿宋" w:eastAsia="仿宋"/>
          <w:bCs w:val="0"/>
        </w:rPr>
        <w:t>2、引育优秀青年人才</w:t>
      </w:r>
      <w:bookmarkEnd w:id="126"/>
      <w:bookmarkEnd w:id="127"/>
    </w:p>
    <w:p>
      <w:pPr>
        <w:spacing w:line="360" w:lineRule="auto"/>
        <w:ind w:firstLine="641"/>
        <w:rPr>
          <w:rFonts w:hAnsi="仿宋" w:eastAsia="仿宋" w:cs="仿宋_GB2312" w:asciiTheme="majorHAnsi"/>
          <w:sz w:val="32"/>
          <w:szCs w:val="30"/>
        </w:rPr>
      </w:pPr>
      <w:r>
        <w:rPr>
          <w:rFonts w:hint="eastAsia" w:hAnsi="仿宋" w:eastAsia="仿宋" w:cs="仿宋_GB2312" w:asciiTheme="majorHAnsi"/>
          <w:sz w:val="32"/>
          <w:szCs w:val="30"/>
        </w:rPr>
        <w:t>实施优秀青年人才引育工程，建立“凤麓英才”计划青年人才专项，出台青年人才创新创业专项扶持政策。深入实施“名校优生”计划，大力开展“全国选才、才聚奉化”招聘活动。创新举办人才日、人才科技周等人才活动，提高优秀青年人才入选人才计划比例，打响“最美桃花源、最好青创地”城市品牌。加快创新型奉商队伍建设，开展“创二代”“新生代”企业家提升行动，吸引更多的“海归人员”“企二代”来奉兴业，着力打造适应新时代的企业家队伍。建强“青创农场”平台，吸引优秀青年人才到农村创新创业，加大“农创客”和“青创客”等“新农人”培育力度。到2025年，新引进高校毕业生2.5万名。</w:t>
      </w:r>
    </w:p>
    <w:p>
      <w:pPr>
        <w:pStyle w:val="4"/>
        <w:rPr>
          <w:rFonts w:ascii="仿宋" w:hAnsi="仿宋" w:eastAsia="仿宋"/>
          <w:bCs w:val="0"/>
        </w:rPr>
      </w:pPr>
      <w:bookmarkStart w:id="128" w:name="_Toc65657731"/>
      <w:bookmarkStart w:id="129" w:name="_Toc54252370"/>
      <w:r>
        <w:rPr>
          <w:rFonts w:ascii="仿宋" w:hAnsi="仿宋" w:eastAsia="仿宋"/>
          <w:bCs w:val="0"/>
        </w:rPr>
        <w:t>3</w:t>
      </w:r>
      <w:r>
        <w:rPr>
          <w:rFonts w:hint="eastAsia" w:ascii="仿宋" w:hAnsi="仿宋" w:eastAsia="仿宋"/>
          <w:bCs w:val="0"/>
        </w:rPr>
        <w:t>、引育高端创新人才</w:t>
      </w:r>
      <w:bookmarkEnd w:id="128"/>
      <w:bookmarkEnd w:id="129"/>
    </w:p>
    <w:p>
      <w:pPr>
        <w:spacing w:line="360" w:lineRule="auto"/>
        <w:ind w:firstLine="640"/>
        <w:rPr>
          <w:rFonts w:hAnsi="仿宋" w:eastAsia="仿宋" w:cs="仿宋_GB2312" w:asciiTheme="majorHAnsi"/>
          <w:b/>
          <w:sz w:val="32"/>
          <w:szCs w:val="30"/>
        </w:rPr>
      </w:pPr>
      <w:r>
        <w:rPr>
          <w:rFonts w:hint="eastAsia" w:hAnsi="仿宋" w:eastAsia="仿宋" w:cs="仿宋_GB2312" w:asciiTheme="majorHAnsi"/>
          <w:sz w:val="32"/>
          <w:szCs w:val="30"/>
        </w:rPr>
        <w:t>实施高端创新人才引育工程，深化“凤麓英才”计划，创新人才举荐制、认定制等遴选模式。实施产业领军人才引育工程，开展优势产业、新兴产业领军人才集聚行动，加强重点产业关键领域人才培养。开展顶尖人才集聚行动，更大力度招引海外高层次人才、领军型团队，吸引更多院士助力奉化。鼓励企业布局海外“人才飞地”，柔性招引“高精尖缺”人才。结合重点企业需求，定期开展企业人才对接会、赴国内外高校引进人才等活动。到2025年，新建博士后工作站10家，新增博士300名。引育100名气动元件、高端装备、时尚纺织等领域领军人才和100名掌握关键核心技术的高端创新创业领军人才。</w:t>
      </w:r>
    </w:p>
    <w:p>
      <w:pPr>
        <w:pStyle w:val="4"/>
        <w:rPr>
          <w:rFonts w:ascii="仿宋" w:hAnsi="仿宋" w:eastAsia="仿宋"/>
          <w:bCs w:val="0"/>
        </w:rPr>
      </w:pPr>
      <w:bookmarkStart w:id="130" w:name="_Toc65657732"/>
      <w:r>
        <w:rPr>
          <w:rFonts w:hint="eastAsia" w:ascii="仿宋" w:hAnsi="仿宋" w:eastAsia="仿宋"/>
          <w:bCs w:val="0"/>
        </w:rPr>
        <w:t>4、创新人才工作机制</w:t>
      </w:r>
      <w:bookmarkEnd w:id="130"/>
    </w:p>
    <w:p>
      <w:pPr>
        <w:spacing w:line="360" w:lineRule="auto"/>
        <w:ind w:firstLine="640" w:firstLineChars="200"/>
        <w:rPr>
          <w:rFonts w:hAnsi="仿宋" w:eastAsia="仿宋" w:cs="仿宋_GB2312" w:asciiTheme="majorHAnsi"/>
          <w:sz w:val="32"/>
          <w:szCs w:val="30"/>
        </w:rPr>
      </w:pPr>
      <w:r>
        <w:rPr>
          <w:rFonts w:hint="eastAsia" w:hAnsi="仿宋" w:eastAsia="仿宋" w:cs="仿宋_GB2312" w:asciiTheme="majorHAnsi"/>
          <w:sz w:val="32"/>
          <w:szCs w:val="30"/>
        </w:rPr>
        <w:t>深化人才发展体制机制改革，优化完善人才政策体系，完善以企业为主体的人才招引机制，推动产业发展与人才招引同步谋划、同步推进。完善科研机构和企业科技人员流动机制，健全双向兼职的科技人才培养模式。建立健全社会化、市场化的人才评价机制，鼓励引导社会力量承接行业领域职称评审工作。畅通技能人才和专业技术人才互认通道，实行以增加知识价值为导向的人才激励机制，持续开展奉化杰出人才等奖项评选，探索扩大高层次人才科技创新贡献奖励、绩效奖励范围。健全以信任为前提、包容审慎的高层次人才管理机制，对人才项目绩效实行总体考核、中长期考核。</w:t>
      </w:r>
    </w:p>
    <w:p>
      <w:pPr>
        <w:pStyle w:val="3"/>
        <w:rPr>
          <w:rFonts w:ascii="楷体" w:hAnsi="楷体" w:eastAsia="楷体"/>
          <w:bCs w:val="0"/>
        </w:rPr>
      </w:pPr>
      <w:bookmarkStart w:id="131" w:name="_Toc65657733"/>
      <w:bookmarkStart w:id="132" w:name="_Toc54252376"/>
      <w:r>
        <w:rPr>
          <w:rFonts w:hint="eastAsia" w:ascii="楷体" w:hAnsi="楷体" w:eastAsia="楷体"/>
          <w:bCs w:val="0"/>
        </w:rPr>
        <w:t>（七）创新创业生态优化工程</w:t>
      </w:r>
      <w:bookmarkEnd w:id="131"/>
      <w:bookmarkEnd w:id="132"/>
    </w:p>
    <w:p>
      <w:pPr>
        <w:pStyle w:val="4"/>
        <w:rPr>
          <w:rFonts w:ascii="仿宋" w:hAnsi="仿宋" w:eastAsia="仿宋"/>
          <w:bCs w:val="0"/>
        </w:rPr>
      </w:pPr>
      <w:bookmarkStart w:id="133" w:name="_Toc65657734"/>
      <w:bookmarkStart w:id="134" w:name="_Toc54252377"/>
      <w:bookmarkStart w:id="135" w:name="_Toc459378326"/>
      <w:bookmarkStart w:id="136" w:name="_Toc459378210"/>
      <w:bookmarkStart w:id="137" w:name="_Toc459376806"/>
      <w:r>
        <w:rPr>
          <w:rFonts w:ascii="仿宋" w:hAnsi="仿宋" w:eastAsia="仿宋"/>
          <w:bCs w:val="0"/>
        </w:rPr>
        <w:t>1</w:t>
      </w:r>
      <w:r>
        <w:rPr>
          <w:rFonts w:hint="eastAsia" w:ascii="仿宋" w:hAnsi="仿宋" w:eastAsia="仿宋"/>
          <w:bCs w:val="0"/>
        </w:rPr>
        <w:t>、深化科技体制机制改革</w:t>
      </w:r>
      <w:bookmarkEnd w:id="133"/>
      <w:bookmarkEnd w:id="134"/>
    </w:p>
    <w:p>
      <w:pPr>
        <w:spacing w:line="360" w:lineRule="auto"/>
        <w:ind w:firstLine="640" w:firstLineChars="200"/>
        <w:rPr>
          <w:rFonts w:hAnsi="Times New Roman" w:eastAsia="仿宋" w:asciiTheme="majorHAnsi"/>
          <w:sz w:val="32"/>
          <w:szCs w:val="32"/>
        </w:rPr>
      </w:pPr>
      <w:r>
        <w:rPr>
          <w:rFonts w:hint="eastAsia" w:hAnsi="Times New Roman" w:eastAsia="仿宋" w:asciiTheme="majorHAnsi"/>
          <w:sz w:val="32"/>
          <w:szCs w:val="32"/>
        </w:rPr>
        <w:t>深化科技项目管理改革，实行重点领域科研项目征集制度，推动创新资源向重点领域、重点项目、重点单位倾斜。健全改革创新在科技体制改革方面的容错免责机制，允许试错、宽容失败。全面贯彻落实“三评”改革精神，破除“四唯”倾向，完善适应颠覆性创新的研发组织模式。进一步优化科研项目评审管理机制、改进科技人才评价方式、健全重大科创平台运行管理机制。推进关键核心技术联合攻关改革，人才创业创新全周期服务“一件事”改革。</w:t>
      </w:r>
    </w:p>
    <w:p>
      <w:pPr>
        <w:pStyle w:val="4"/>
        <w:rPr>
          <w:rFonts w:ascii="仿宋" w:hAnsi="仿宋" w:eastAsia="仿宋"/>
          <w:bCs w:val="0"/>
        </w:rPr>
      </w:pPr>
      <w:bookmarkStart w:id="138" w:name="_Toc54252378"/>
      <w:bookmarkStart w:id="139" w:name="_Toc65657735"/>
      <w:r>
        <w:rPr>
          <w:rFonts w:ascii="仿宋" w:hAnsi="仿宋" w:eastAsia="仿宋"/>
          <w:bCs w:val="0"/>
        </w:rPr>
        <w:t>2</w:t>
      </w:r>
      <w:r>
        <w:rPr>
          <w:rFonts w:hint="eastAsia" w:ascii="仿宋" w:hAnsi="仿宋" w:eastAsia="仿宋"/>
          <w:bCs w:val="0"/>
        </w:rPr>
        <w:t>、完善科技创新治理体系</w:t>
      </w:r>
      <w:bookmarkEnd w:id="138"/>
      <w:bookmarkEnd w:id="139"/>
    </w:p>
    <w:p>
      <w:pPr>
        <w:spacing w:line="360" w:lineRule="auto"/>
        <w:ind w:firstLine="640" w:firstLineChars="200"/>
        <w:rPr>
          <w:rFonts w:hAnsi="Times New Roman" w:eastAsia="仿宋" w:asciiTheme="majorHAnsi"/>
          <w:sz w:val="32"/>
          <w:szCs w:val="32"/>
        </w:rPr>
      </w:pPr>
      <w:r>
        <w:rPr>
          <w:rFonts w:hint="eastAsia" w:hAnsi="Times New Roman" w:eastAsia="仿宋" w:asciiTheme="majorHAnsi"/>
          <w:sz w:val="32"/>
          <w:szCs w:val="32"/>
        </w:rPr>
        <w:t>加强新型智库建设，健全完善决策咨询制度，通过购买服务等方式，引导高端智库、咨询机构参与科技创新决策咨询。深化科技领域“最多跑一次”改革，对接市“科技大脑”建设，搭建科技大数据平台，面向广大企业、科技人员等各类创新主体，实现申报、评审、验收及成果转化等科技信息全程智能推送，科技政策、创新载体、创新平台、科技成果等实时查询和个性化服务。实现科技服务事项网上办理100%开通、科技信息孤岛100%打通、科技数据资源100%共享，全面提升科技企业、科技人员和科技部门办事的便捷度、舒适度和满意度。</w:t>
      </w:r>
    </w:p>
    <w:bookmarkEnd w:id="135"/>
    <w:bookmarkEnd w:id="136"/>
    <w:bookmarkEnd w:id="137"/>
    <w:p>
      <w:pPr>
        <w:pStyle w:val="4"/>
        <w:rPr>
          <w:rFonts w:ascii="仿宋" w:hAnsi="仿宋" w:eastAsia="仿宋"/>
          <w:bCs w:val="0"/>
        </w:rPr>
      </w:pPr>
      <w:bookmarkStart w:id="140" w:name="_Toc54252379"/>
      <w:bookmarkStart w:id="141" w:name="_Toc65657736"/>
      <w:r>
        <w:rPr>
          <w:rFonts w:ascii="仿宋" w:hAnsi="仿宋" w:eastAsia="仿宋"/>
          <w:bCs w:val="0"/>
        </w:rPr>
        <w:t>3</w:t>
      </w:r>
      <w:r>
        <w:rPr>
          <w:rFonts w:hint="eastAsia" w:ascii="仿宋" w:hAnsi="仿宋" w:eastAsia="仿宋"/>
          <w:bCs w:val="0"/>
        </w:rPr>
        <w:t>、加大科技金融支持力度</w:t>
      </w:r>
      <w:bookmarkEnd w:id="140"/>
      <w:bookmarkEnd w:id="141"/>
    </w:p>
    <w:p>
      <w:pPr>
        <w:adjustRightInd w:val="0"/>
        <w:snapToGrid w:val="0"/>
        <w:spacing w:before="156" w:beforeLines="50" w:after="156" w:afterLines="50" w:line="360" w:lineRule="auto"/>
        <w:ind w:firstLine="642"/>
        <w:rPr>
          <w:rFonts w:hAnsi="Times New Roman" w:eastAsia="仿宋" w:asciiTheme="majorHAnsi"/>
          <w:sz w:val="32"/>
          <w:szCs w:val="32"/>
        </w:rPr>
      </w:pPr>
      <w:r>
        <w:rPr>
          <w:rFonts w:hint="eastAsia" w:hAnsi="Times New Roman" w:eastAsia="仿宋" w:asciiTheme="majorHAnsi"/>
          <w:sz w:val="32"/>
          <w:szCs w:val="32"/>
        </w:rPr>
        <w:t>加强科技创新基金体系建设，支持和引导民间资本创立各类风险投资基金，吸引社会资本参与新兴产业创投计划，支持创投企业参与初创企业、早期项目投资。完善股权投资体系，鼓励区产业引导基金和创新创业投资基金加大对高新技术企业和科技型初创企业的资本支持。积极创新金融服务模式和产品，扩大“科技贷”受惠面。鼓励商业银行开发集担保信贷、孵化贷、成长贷、创新研发贷、知识产权质押贷等在内的科技金融产品，探索建立股权投资、银行贷款和担保公司相结合的投贷保联动机制。鼓励保险机构创新产品和服务，为科技创新企业在产品研发、生产、销售等各环节以及数据安全、知识产权保护等方面提供保障。支持设立创新型金融机构，运用金融科技手段创新科技金融产品，提升金融服务效率。探索利用大数据、区块链、人工智能等手段，为创新型企业提供线上化、智能化、批量化的投融资对接服务。</w:t>
      </w:r>
    </w:p>
    <w:p>
      <w:pPr>
        <w:pStyle w:val="4"/>
        <w:rPr>
          <w:rFonts w:ascii="仿宋" w:hAnsi="仿宋" w:eastAsia="仿宋"/>
          <w:bCs w:val="0"/>
        </w:rPr>
      </w:pPr>
      <w:bookmarkStart w:id="142" w:name="_Toc65657737"/>
      <w:r>
        <w:rPr>
          <w:rFonts w:ascii="仿宋" w:hAnsi="仿宋" w:eastAsia="仿宋"/>
          <w:bCs w:val="0"/>
        </w:rPr>
        <w:t>4</w:t>
      </w:r>
      <w:r>
        <w:rPr>
          <w:rFonts w:hint="eastAsia" w:ascii="仿宋" w:hAnsi="仿宋" w:eastAsia="仿宋"/>
          <w:bCs w:val="0"/>
        </w:rPr>
        <w:t>、全面加强知识产权保护</w:t>
      </w:r>
      <w:bookmarkEnd w:id="142"/>
    </w:p>
    <w:p>
      <w:pPr>
        <w:adjustRightInd w:val="0"/>
        <w:spacing w:line="360" w:lineRule="auto"/>
        <w:ind w:firstLine="640" w:firstLineChars="200"/>
        <w:rPr>
          <w:rFonts w:hAnsi="Times New Roman" w:eastAsia="仿宋" w:asciiTheme="majorHAnsi"/>
          <w:sz w:val="32"/>
          <w:szCs w:val="32"/>
        </w:rPr>
      </w:pPr>
      <w:r>
        <w:rPr>
          <w:rFonts w:hint="eastAsia" w:hAnsi="Times New Roman" w:eastAsia="仿宋" w:asciiTheme="majorHAnsi"/>
          <w:sz w:val="32"/>
          <w:szCs w:val="32"/>
        </w:rPr>
        <w:t>强化知识产权行政执法、司法保护与人民调解衔接，建立健全举报投诉快速反应和多元化纠纷解决机制，形成知识产权保护联动网络。鼓励行业、企业、行业协会组建知识产权保护联盟，实现知识产权业务流、信息流、资金流的互联互通。支持知识产权服务机构开展价值评估、战略策划、组合布局、风险预警、维权托管等专利运营服务。探索开展新型知识产权法律保护，完善互联网信息等数字知识产权财产权益保护制度。</w:t>
      </w:r>
    </w:p>
    <w:bookmarkEnd w:id="44"/>
    <w:bookmarkEnd w:id="45"/>
    <w:p>
      <w:pPr>
        <w:pStyle w:val="2"/>
        <w:tabs>
          <w:tab w:val="center" w:pos="4156"/>
          <w:tab w:val="left" w:pos="7536"/>
        </w:tabs>
        <w:adjustRightInd w:val="0"/>
        <w:snapToGrid w:val="0"/>
        <w:spacing w:before="468" w:beforeLines="150" w:after="156" w:afterLines="50" w:line="360" w:lineRule="auto"/>
        <w:jc w:val="left"/>
        <w:rPr>
          <w:rFonts w:hAnsi="Times New Roman" w:eastAsia="黑体" w:asciiTheme="majorHAnsi"/>
          <w:sz w:val="36"/>
          <w:szCs w:val="36"/>
        </w:rPr>
      </w:pPr>
      <w:bookmarkStart w:id="143" w:name="_Toc54252381"/>
      <w:bookmarkStart w:id="144" w:name="_Toc459378346"/>
      <w:bookmarkStart w:id="145" w:name="_Toc438414064"/>
      <w:bookmarkStart w:id="146" w:name="_Toc459378230"/>
      <w:bookmarkStart w:id="147" w:name="_Toc459376826"/>
      <w:bookmarkStart w:id="148" w:name="_Toc438413334"/>
      <w:bookmarkStart w:id="149" w:name="_Toc438412707"/>
      <w:bookmarkStart w:id="150" w:name="_Toc434937401"/>
      <w:bookmarkStart w:id="151" w:name="_Toc65657738"/>
      <w:r>
        <w:rPr>
          <w:rFonts w:hint="eastAsia" w:hAnsi="Times New Roman" w:eastAsia="黑体" w:asciiTheme="majorHAnsi"/>
          <w:sz w:val="36"/>
          <w:szCs w:val="36"/>
        </w:rPr>
        <w:t>四、</w:t>
      </w:r>
      <w:r>
        <w:rPr>
          <w:rFonts w:hAnsi="Times New Roman" w:eastAsia="黑体" w:asciiTheme="majorHAnsi"/>
          <w:sz w:val="36"/>
          <w:szCs w:val="36"/>
        </w:rPr>
        <w:t>保障</w:t>
      </w:r>
      <w:bookmarkEnd w:id="143"/>
      <w:bookmarkEnd w:id="144"/>
      <w:bookmarkEnd w:id="145"/>
      <w:bookmarkEnd w:id="146"/>
      <w:bookmarkEnd w:id="147"/>
      <w:bookmarkEnd w:id="148"/>
      <w:bookmarkEnd w:id="149"/>
      <w:bookmarkEnd w:id="150"/>
      <w:r>
        <w:rPr>
          <w:rFonts w:hint="eastAsia" w:hAnsi="Times New Roman" w:eastAsia="黑体" w:asciiTheme="majorHAnsi"/>
          <w:sz w:val="36"/>
          <w:szCs w:val="36"/>
        </w:rPr>
        <w:t>举措</w:t>
      </w:r>
      <w:bookmarkEnd w:id="151"/>
    </w:p>
    <w:p>
      <w:pPr>
        <w:pStyle w:val="3"/>
        <w:rPr>
          <w:rFonts w:ascii="楷体" w:hAnsi="楷体" w:eastAsia="楷体"/>
          <w:bCs w:val="0"/>
        </w:rPr>
      </w:pPr>
      <w:bookmarkStart w:id="152" w:name="_Toc438414065"/>
      <w:bookmarkStart w:id="153" w:name="_Toc438413335"/>
      <w:bookmarkStart w:id="154" w:name="_Toc459378347"/>
      <w:bookmarkStart w:id="155" w:name="_Toc54252382"/>
      <w:bookmarkStart w:id="156" w:name="_Toc438412708"/>
      <w:bookmarkStart w:id="157" w:name="_Toc459378231"/>
      <w:bookmarkStart w:id="158" w:name="_Toc459376827"/>
      <w:bookmarkStart w:id="159" w:name="_Toc434937402"/>
      <w:bookmarkStart w:id="160" w:name="_Toc65657739"/>
      <w:r>
        <w:rPr>
          <w:rFonts w:hint="eastAsia" w:ascii="楷体" w:hAnsi="楷体" w:eastAsia="楷体"/>
          <w:bCs w:val="0"/>
        </w:rPr>
        <w:t>（一）</w:t>
      </w:r>
      <w:r>
        <w:rPr>
          <w:rFonts w:ascii="楷体" w:hAnsi="楷体" w:eastAsia="楷体"/>
          <w:bCs w:val="0"/>
        </w:rPr>
        <w:t>加强组织领导</w:t>
      </w:r>
      <w:bookmarkEnd w:id="152"/>
      <w:bookmarkEnd w:id="153"/>
      <w:bookmarkEnd w:id="154"/>
      <w:bookmarkEnd w:id="155"/>
      <w:bookmarkEnd w:id="156"/>
      <w:bookmarkEnd w:id="157"/>
      <w:bookmarkEnd w:id="158"/>
      <w:bookmarkEnd w:id="159"/>
      <w:bookmarkEnd w:id="160"/>
    </w:p>
    <w:p>
      <w:pPr>
        <w:adjustRightInd w:val="0"/>
        <w:snapToGrid w:val="0"/>
        <w:spacing w:before="156" w:beforeLines="50" w:after="156" w:afterLines="50" w:line="360" w:lineRule="auto"/>
        <w:ind w:firstLine="642"/>
        <w:rPr>
          <w:rFonts w:hAnsi="Times New Roman" w:eastAsia="仿宋" w:asciiTheme="majorHAnsi"/>
          <w:sz w:val="32"/>
          <w:szCs w:val="32"/>
        </w:rPr>
      </w:pPr>
      <w:r>
        <w:rPr>
          <w:rFonts w:hint="eastAsia" w:hAnsi="Times New Roman" w:eastAsia="仿宋" w:asciiTheme="majorHAnsi"/>
          <w:sz w:val="32"/>
          <w:szCs w:val="32"/>
        </w:rPr>
        <w:t>配优配强科技部门队伍，加强科技干部理论和业务学习，提高科技服务能力素质，加快建设一支政治过硬、业务过硬、作风优良的科技铁军队伍。加强科技、人才、教育、产业、财政、金融、土地、税收等部门的政策协同和信息共享，形成跨部门创新协同机制。落实科技进步目标责任制考核、督查机制，将考核结果作为领导班子评优、干部评价的重要依据。</w:t>
      </w:r>
    </w:p>
    <w:p>
      <w:pPr>
        <w:pStyle w:val="3"/>
        <w:rPr>
          <w:rFonts w:ascii="楷体" w:hAnsi="楷体" w:eastAsia="楷体"/>
          <w:bCs w:val="0"/>
        </w:rPr>
      </w:pPr>
      <w:bookmarkStart w:id="161" w:name="_Toc438412709"/>
      <w:bookmarkStart w:id="162" w:name="_Toc434937403"/>
      <w:bookmarkStart w:id="163" w:name="_Toc438413336"/>
      <w:bookmarkStart w:id="164" w:name="_Toc459376828"/>
      <w:bookmarkStart w:id="165" w:name="_Toc459378232"/>
      <w:bookmarkStart w:id="166" w:name="_Toc54252383"/>
      <w:bookmarkStart w:id="167" w:name="_Toc438414066"/>
      <w:bookmarkStart w:id="168" w:name="_Toc65657740"/>
      <w:bookmarkStart w:id="169" w:name="_Toc459378348"/>
      <w:r>
        <w:rPr>
          <w:rFonts w:hint="eastAsia" w:ascii="楷体" w:hAnsi="楷体" w:eastAsia="楷体"/>
          <w:bCs w:val="0"/>
        </w:rPr>
        <w:t>（二）加大创新投入</w:t>
      </w:r>
      <w:bookmarkEnd w:id="161"/>
      <w:bookmarkEnd w:id="162"/>
      <w:bookmarkEnd w:id="163"/>
      <w:bookmarkEnd w:id="164"/>
      <w:bookmarkEnd w:id="165"/>
      <w:bookmarkEnd w:id="166"/>
      <w:bookmarkEnd w:id="167"/>
      <w:bookmarkEnd w:id="168"/>
      <w:bookmarkEnd w:id="169"/>
    </w:p>
    <w:p>
      <w:pPr>
        <w:adjustRightInd w:val="0"/>
        <w:snapToGrid w:val="0"/>
        <w:spacing w:before="156" w:beforeLines="50" w:after="156" w:afterLines="50" w:line="360" w:lineRule="auto"/>
        <w:ind w:firstLine="642"/>
        <w:rPr>
          <w:rFonts w:hAnsi="Times New Roman" w:eastAsia="仿宋" w:asciiTheme="majorHAnsi"/>
          <w:sz w:val="32"/>
          <w:szCs w:val="32"/>
        </w:rPr>
      </w:pPr>
      <w:r>
        <w:rPr>
          <w:rFonts w:hint="eastAsia" w:hAnsi="Times New Roman" w:eastAsia="仿宋" w:asciiTheme="majorHAnsi"/>
          <w:sz w:val="32"/>
          <w:szCs w:val="32"/>
        </w:rPr>
        <w:t>完善财政科技投入稳定增长支持机制，建立财政科技投入稳定增长机制，确保全区财政科技投入年均增长15%以上。加大财政资金用于科技投入的比例，建立财政科技资金优先向创新企业流动的配置机制。优化支出结构，重点支持区域重大创新资源布局、重大研发平台、应用示范工程等公共科技活动。建立高新技术产业和企业等重大项目储备库，强化高新技术项目用地保障。</w:t>
      </w:r>
    </w:p>
    <w:p>
      <w:pPr>
        <w:pStyle w:val="3"/>
        <w:rPr>
          <w:rFonts w:ascii="楷体" w:hAnsi="楷体" w:eastAsia="楷体"/>
          <w:bCs w:val="0"/>
        </w:rPr>
      </w:pPr>
      <w:bookmarkStart w:id="170" w:name="_Toc54252384"/>
      <w:bookmarkStart w:id="171" w:name="_Toc65657741"/>
      <w:r>
        <w:rPr>
          <w:rFonts w:hint="eastAsia" w:ascii="楷体" w:hAnsi="楷体" w:eastAsia="楷体"/>
          <w:bCs w:val="0"/>
        </w:rPr>
        <w:t>（三）强化政策举措</w:t>
      </w:r>
      <w:bookmarkEnd w:id="170"/>
      <w:bookmarkEnd w:id="171"/>
    </w:p>
    <w:p>
      <w:pPr>
        <w:spacing w:line="360" w:lineRule="auto"/>
        <w:ind w:firstLine="641"/>
        <w:rPr>
          <w:rFonts w:hAnsi="Times New Roman" w:eastAsia="仿宋" w:asciiTheme="majorHAnsi"/>
          <w:sz w:val="32"/>
          <w:szCs w:val="32"/>
        </w:rPr>
      </w:pPr>
      <w:r>
        <w:rPr>
          <w:rFonts w:hint="eastAsia" w:hAnsi="Times New Roman" w:eastAsia="仿宋" w:asciiTheme="majorHAnsi"/>
          <w:sz w:val="32"/>
          <w:szCs w:val="32"/>
        </w:rPr>
        <w:t>完善政策体系，全面落实全社会研发投入、高新技术企业培育、“1+X”人才引育、产学研合作、“小而美”引育等科技新政。</w:t>
      </w:r>
      <w:bookmarkStart w:id="172" w:name="_Toc54252385"/>
      <w:r>
        <w:rPr>
          <w:rFonts w:hint="eastAsia" w:hAnsi="Times New Roman" w:eastAsia="仿宋" w:asciiTheme="majorHAnsi"/>
          <w:sz w:val="32"/>
          <w:szCs w:val="32"/>
        </w:rPr>
        <w:t>启动新一轮区级创新政策调整优化，完善实施创新驱动发展战略顶层设计，加强科技政策、产业政策、人才政策、金融政策、知识产权政策等衔接，进一步强化政策的精准性，形成有利于创新发展的政策导向。</w:t>
      </w:r>
    </w:p>
    <w:p>
      <w:pPr>
        <w:pStyle w:val="3"/>
        <w:rPr>
          <w:rFonts w:ascii="楷体" w:hAnsi="楷体" w:eastAsia="楷体"/>
          <w:bCs w:val="0"/>
        </w:rPr>
      </w:pPr>
      <w:bookmarkStart w:id="173" w:name="_Toc65657742"/>
      <w:r>
        <w:rPr>
          <w:rFonts w:hint="eastAsia" w:ascii="楷体" w:hAnsi="楷体" w:eastAsia="楷体"/>
          <w:bCs w:val="0"/>
        </w:rPr>
        <w:t>（四）营造良好氛围</w:t>
      </w:r>
      <w:bookmarkEnd w:id="172"/>
      <w:bookmarkEnd w:id="173"/>
    </w:p>
    <w:p>
      <w:pPr>
        <w:autoSpaceDE w:val="0"/>
        <w:autoSpaceDN w:val="0"/>
        <w:adjustRightInd w:val="0"/>
        <w:snapToGrid w:val="0"/>
        <w:spacing w:before="156" w:beforeLines="50" w:after="156" w:afterLines="50" w:line="360" w:lineRule="auto"/>
        <w:ind w:firstLine="642"/>
        <w:rPr>
          <w:rFonts w:hAnsi="Times New Roman" w:eastAsia="仿宋" w:asciiTheme="majorHAnsi"/>
          <w:sz w:val="32"/>
          <w:szCs w:val="32"/>
        </w:rPr>
      </w:pPr>
      <w:r>
        <w:rPr>
          <w:rFonts w:hint="eastAsia" w:hAnsi="Times New Roman" w:eastAsia="仿宋" w:asciiTheme="majorHAnsi"/>
          <w:sz w:val="32"/>
          <w:szCs w:val="32"/>
        </w:rPr>
        <w:t>鼓励群众性科技创新活动，支持应用先进创新技术及成果促进经济建设和社会事业可持续发展。健全创新创业先进典型奖励激励机制，每年奖励一批科技成果获得者、典型创新人才和创新企业，激发全社会创新创业热情。建立完善创新尽职免责机制，鼓励创新、宽容失败。注重宣传引导，广泛宣传优秀人才及改革典型，弘扬劳模精神、工匠精神，大力培育尊重劳动、尊重知识、尊重人才、尊重创造的创新文化，全面营造大众创业、万众创新的浓厚氛围。</w:t>
      </w:r>
    </w:p>
    <w:p>
      <w:pPr>
        <w:numPr>
          <w:ilvl w:val="0"/>
          <w:numId w:val="0"/>
        </w:numPr>
        <w:jc w:val="left"/>
        <w:rPr>
          <w:rFonts w:hint="eastAsia" w:ascii="仿宋_GB2312" w:hAnsi="仿宋_GB2312" w:eastAsia="仿宋_GB2312" w:cs="仿宋_GB2312"/>
          <w:sz w:val="32"/>
          <w:szCs w:val="32"/>
          <w:lang w:val="en-US" w:eastAsia="zh-CN"/>
        </w:rPr>
      </w:pPr>
    </w:p>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8306"/>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2385" cy="262890"/>
              <wp:effectExtent l="0" t="0" r="0" b="0"/>
              <wp:wrapNone/>
              <wp:docPr id="2" name="文本框3"/>
              <wp:cNvGraphicFramePr/>
              <a:graphic xmlns:a="http://schemas.openxmlformats.org/drawingml/2006/main">
                <a:graphicData uri="http://schemas.microsoft.com/office/word/2010/wordprocessingShape">
                  <wps:wsp>
                    <wps:cNvSpPr/>
                    <wps:spPr>
                      <a:xfrm>
                        <a:off x="0" y="0"/>
                        <a:ext cx="32385" cy="262890"/>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rPr>
                              <w:sz w:val="18"/>
                            </w:rPr>
                            <w:t>II</w:t>
                          </w:r>
                          <w:r>
                            <w:rPr>
                              <w:sz w:val="18"/>
                            </w:rPr>
                            <w:fldChar w:fldCharType="end"/>
                          </w:r>
                        </w:p>
                      </w:txbxContent>
                    </wps:txbx>
                    <wps:bodyPr wrap="none" lIns="0" tIns="0" rIns="0" bIns="0" upright="1">
                      <a:spAutoFit/>
                    </wps:bodyPr>
                  </wps:wsp>
                </a:graphicData>
              </a:graphic>
            </wp:anchor>
          </w:drawing>
        </mc:Choice>
        <mc:Fallback>
          <w:pict>
            <v:rect id="文本框3" o:spid="_x0000_s1026" o:spt="1" style="position:absolute;left:0pt;margin-top:0pt;height:20.7pt;width:2.55pt;mso-position-horizontal:center;mso-position-horizontal-relative:margin;mso-wrap-style:none;z-index:251660288;mso-width-relative:page;mso-height-relative:page;" filled="f" stroked="f" coordsize="21600,21600" o:gfxdata="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LJLbdEAAAACAQAADwAAAAAAAAABACAAAAAiAAAAZHJzL2Rvd25yZXYueG1sUEsBAhQAFAAAAAgA&#10;h07iQFIse6a6AQAAVAMAAA4AAAAAAAAAAQAgAAAAIAEAAGRycy9lMm9Eb2MueG1sUEsFBgAAAAAG&#10;AAYAWQEAAEw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II</w:t>
                    </w:r>
                    <w:r>
                      <w:rPr>
                        <w:sz w:val="1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7D15"/>
    <w:multiLevelType w:val="multilevel"/>
    <w:tmpl w:val="20B27D1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72D2D"/>
    <w:rsid w:val="18160FCF"/>
    <w:rsid w:val="27172D2D"/>
    <w:rsid w:val="6E126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qFormat/>
    <w:uiPriority w:val="99"/>
    <w:pPr>
      <w:keepNext/>
      <w:keepLines/>
      <w:spacing w:before="260" w:after="260" w:line="416" w:lineRule="auto"/>
      <w:outlineLvl w:val="2"/>
    </w:pPr>
    <w:rPr>
      <w:b/>
      <w:bCs/>
      <w:kern w:val="0"/>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semiHidden/>
    <w:unhideWhenUsed/>
    <w:qFormat/>
    <w:uiPriority w:val="99"/>
    <w:pPr>
      <w:spacing w:after="120"/>
    </w:pPr>
  </w:style>
  <w:style w:type="paragraph" w:styleId="6">
    <w:name w:val="toc 3"/>
    <w:basedOn w:val="1"/>
    <w:next w:val="1"/>
    <w:qFormat/>
    <w:uiPriority w:val="39"/>
    <w:pPr>
      <w:ind w:left="420"/>
      <w:jc w:val="left"/>
    </w:pPr>
    <w:rPr>
      <w:rFonts w:cs="Calibri"/>
      <w:i/>
      <w:iCs/>
      <w:sz w:val="20"/>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toc 1"/>
    <w:basedOn w:val="1"/>
    <w:next w:val="1"/>
    <w:qFormat/>
    <w:uiPriority w:val="39"/>
    <w:pPr>
      <w:spacing w:before="120" w:after="120"/>
      <w:jc w:val="left"/>
    </w:pPr>
    <w:rPr>
      <w:rFonts w:cs="Calibri"/>
      <w:b/>
      <w:bCs/>
      <w:caps/>
      <w:sz w:val="20"/>
      <w:szCs w:val="20"/>
    </w:rPr>
  </w:style>
  <w:style w:type="paragraph" w:styleId="9">
    <w:name w:val="toc 2"/>
    <w:basedOn w:val="1"/>
    <w:next w:val="1"/>
    <w:qFormat/>
    <w:uiPriority w:val="39"/>
    <w:pPr>
      <w:ind w:left="210"/>
      <w:jc w:val="left"/>
    </w:pPr>
    <w:rPr>
      <w:rFonts w:cs="Calibri"/>
      <w:smallCaps/>
      <w:sz w:val="20"/>
      <w:szCs w:val="20"/>
    </w:rPr>
  </w:style>
  <w:style w:type="paragraph" w:styleId="10">
    <w:name w:val="Body Text First Indent"/>
    <w:basedOn w:val="5"/>
    <w:unhideWhenUsed/>
    <w:qFormat/>
    <w:uiPriority w:val="99"/>
    <w:pPr>
      <w:ind w:firstLine="420" w:firstLineChars="100"/>
    </w:pPr>
    <w:rPr>
      <w:rFonts w:asciiTheme="minorHAnsi" w:hAnsiTheme="minorHAnsi" w:eastAsiaTheme="minorEastAsia" w:cstheme="minorBidi"/>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99"/>
    <w:rPr>
      <w:rFonts w:cs="Times New Roman"/>
      <w:color w:val="0000FF"/>
      <w:u w:val="single"/>
    </w:rPr>
  </w:style>
  <w:style w:type="paragraph" w:customStyle="1" w:styleId="15">
    <w:name w:val="TOC 标题2"/>
    <w:basedOn w:val="2"/>
    <w:next w:val="1"/>
    <w:unhideWhenUsed/>
    <w:qFormat/>
    <w:uiPriority w:val="0"/>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16">
    <w:name w:val="正文首行缩进 21"/>
    <w:basedOn w:val="1"/>
    <w:qFormat/>
    <w:uiPriority w:val="0"/>
    <w:pPr>
      <w:ind w:left="420" w:leftChars="200" w:firstLine="420" w:firstLineChars="200"/>
    </w:pPr>
    <w:rPr>
      <w:rFonts w:asciiTheme="minorHAnsi" w:hAnsiTheme="minorHAnsi"/>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2021-05-25T00:45:00Z</dcterms:created>
  <dc:creator>Administrator</dc:creator>
  <cp:lastModifiedBy>mashimaro</cp:lastModifiedBy>
  <cp:lastPrinted>2021-05-25T02:39:00Z</cp:lastPrinted>
  <dcterms:modified xsi:type="dcterms:W3CDTF">2021-07-14T01:24:08Z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EE04E5EB7B3F435AA6C9F171B333E5A1</vt:lpwstr>
  </property>
</Properties>
</file>