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7"/>
          <w:rFonts w:hint="eastAsia" w:ascii="宋体" w:hAnsi="宋体" w:eastAsia="宋体" w:cs="宋体"/>
          <w:i w:val="0"/>
          <w:caps w:val="0"/>
          <w:color w:val="333333"/>
          <w:spacing w:val="0"/>
          <w:sz w:val="36"/>
          <w:szCs w:val="36"/>
          <w:bdr w:val="none" w:color="auto" w:sz="0" w:space="0"/>
          <w:shd w:val="clear" w:fill="FFFFFF"/>
        </w:rPr>
        <w:t>国务院办公厅关于印发《政府信息公开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7"/>
          <w:rFonts w:hint="eastAsia" w:ascii="宋体" w:hAnsi="宋体" w:eastAsia="宋体" w:cs="宋体"/>
          <w:i w:val="0"/>
          <w:caps w:val="0"/>
          <w:color w:val="333333"/>
          <w:spacing w:val="0"/>
          <w:sz w:val="36"/>
          <w:szCs w:val="36"/>
          <w:bdr w:val="none" w:color="auto" w:sz="0" w:space="0"/>
          <w:shd w:val="clear" w:fill="FFFFFF"/>
        </w:rPr>
        <w:t>信息处理费管理办法》的通知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_GB2312" w:hAnsi="楷体_GB2312" w:eastAsia="楷体_GB2312" w:cs="楷体_GB2312"/>
          <w:i w:val="0"/>
          <w:caps w:val="0"/>
          <w:color w:val="333333"/>
          <w:spacing w:val="0"/>
          <w:sz w:val="24"/>
          <w:szCs w:val="24"/>
          <w:bdr w:val="none" w:color="auto" w:sz="0" w:space="0"/>
          <w:shd w:val="clear" w:fill="FFFFFF"/>
        </w:rPr>
        <w:t>国办函〔2020〕109号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现将《政府信息公开信息处理费管理办法》印发给你们，请认真贯彻执行。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2020年11月17日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7"/>
          <w:rFonts w:hint="eastAsia" w:ascii="宋体" w:hAnsi="宋体" w:eastAsia="宋体" w:cs="宋体"/>
          <w:i w:val="0"/>
          <w:caps w:val="0"/>
          <w:color w:val="333333"/>
          <w:spacing w:val="0"/>
          <w:sz w:val="36"/>
          <w:szCs w:val="36"/>
          <w:bdr w:val="none" w:color="auto" w:sz="0" w:space="0"/>
          <w:shd w:val="clear" w:fill="FFFFFF"/>
        </w:rPr>
        <w:t>政府信息公开信息处理费管理办法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为了进一步规范政府信息公开法律关系，维护政府信息公开工作秩序，更好保障公众知情权，根据《中华人民共和国政府信息公开条例》有关规定，制定本办法。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本办法所称信息处理费，是指为了有效调节政府信息公开申请行为、引导申请人合理行使权利，向申请公开政府信息超出一定数量或者频次范围的申请人收取的费用。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信息处理费可以按件计收，也可以按量计收，均按照超额累进方式计算收费金额。行政机关对每件申请可以根据实际情况选择适用其中一种标准，但不得同时按照两种标准重复计算。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按件计收适用于所有政府信息公开申请处理决定类型。申请人的一份政府信息公开申请包含多项内容的，行政机关可以按照“一事一申请”原则，以合理的最小单位拆分计算件数。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按件计收执行下列收费标准：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（一）同一申请人一个自然月内累计申请10件以下（含10件）的，不收费。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（二）同一申请人一个自然月内累计申请11—30件（含30件）的部分：100元/件。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（三）同一申请人一个自然月内累计申请31件以上的部分：以10件为一档，每增加一档，收费标准提高100元/件。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按量计收执行下列收费标准：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（一）30页以下（含30页）的，不收费。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（二）31—100页（含100页）的部分：10元/页。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（三）101—200页（含200页）的部分：20元/页。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（四）201页以上的部分：40元/页。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政府信息公开申请处理期限从申请人完成缴费次日起重新计算。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行政机关收取信息处理费，应当按照财务隶属关系分别使用财政部或者省、自治区、直辖市财政部门统一监（印）制的财政票据。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价格、财政、审计部门依据各自职责，加强对信息处理费收取行为的监管。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本办法由全国政府信息公开工作主管部门、国务院价格主管部门、国务院财政部门依据各自职责负责解释。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本办法自2021年1月1日起施行。</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36E01"/>
    <w:rsid w:val="7F036E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2021-09-30T07:45:00Z</dcterms:created>
  <dc:creator>nbgly</dc:creator>
  <cp:lastModifiedBy>nbgly</cp:lastModifiedBy>
  <dcterms:modified xsi:type="dcterms:W3CDTF">2021-09-30T07:49:02Z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