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创艺简标宋" w:hAnsi="Calibri" w:eastAsia="创艺简标宋" w:cs="Times New Roman"/>
          <w:sz w:val="44"/>
          <w:szCs w:val="44"/>
        </w:rPr>
      </w:pPr>
    </w:p>
    <w:p>
      <w:pPr>
        <w:spacing w:line="580" w:lineRule="exact"/>
        <w:rPr>
          <w:rFonts w:ascii="创艺简标宋" w:hAnsi="Calibri" w:eastAsia="创艺简标宋" w:cs="Times New Roman"/>
          <w:sz w:val="44"/>
          <w:szCs w:val="44"/>
        </w:rPr>
      </w:pPr>
    </w:p>
    <w:p>
      <w:pPr>
        <w:spacing w:line="580" w:lineRule="exact"/>
        <w:jc w:val="center"/>
        <w:rPr>
          <w:rFonts w:ascii="创艺简标宋" w:hAnsi="Calibri" w:eastAsia="创艺简标宋" w:cs="Times New Roman"/>
          <w:sz w:val="44"/>
          <w:szCs w:val="44"/>
        </w:rPr>
      </w:pPr>
    </w:p>
    <w:p>
      <w:pPr>
        <w:spacing w:line="580" w:lineRule="exact"/>
        <w:jc w:val="center"/>
        <w:rPr>
          <w:rFonts w:ascii="创艺简标宋" w:hAnsi="Calibri" w:eastAsia="创艺简标宋" w:cs="Times New Roman"/>
          <w:sz w:val="44"/>
          <w:szCs w:val="44"/>
        </w:rPr>
      </w:pPr>
      <w:r>
        <w:rPr>
          <w:rFonts w:hint="eastAsia" w:ascii="创艺简标宋" w:hAnsi="Calibri" w:eastAsia="创艺简标宋" w:cs="Times New Roman"/>
          <w:sz w:val="44"/>
          <w:szCs w:val="44"/>
          <w:lang w:eastAsia="zh-CN"/>
        </w:rPr>
        <w:t>宁波市</w:t>
      </w:r>
      <w:r>
        <w:rPr>
          <w:rFonts w:hint="eastAsia" w:ascii="创艺简标宋" w:hAnsi="Calibri" w:eastAsia="创艺简标宋" w:cs="Times New Roman"/>
          <w:sz w:val="44"/>
          <w:szCs w:val="44"/>
        </w:rPr>
        <w:t>奉化区全面提升开放型经济</w:t>
      </w:r>
    </w:p>
    <w:p>
      <w:pPr>
        <w:spacing w:line="580" w:lineRule="exact"/>
        <w:jc w:val="center"/>
        <w:rPr>
          <w:rFonts w:ascii="楷体_GB2312" w:hAnsi="Calibri" w:eastAsia="楷体_GB2312" w:cs="Times New Roman"/>
          <w:sz w:val="32"/>
          <w:szCs w:val="32"/>
        </w:rPr>
      </w:pPr>
      <w:r>
        <w:rPr>
          <w:rFonts w:hint="eastAsia" w:ascii="创艺简标宋" w:hAnsi="Calibri" w:eastAsia="创艺简标宋" w:cs="Times New Roman"/>
          <w:sz w:val="44"/>
          <w:szCs w:val="44"/>
        </w:rPr>
        <w:t>发展水平“十四五”规划</w:t>
      </w: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p>
    <w:p>
      <w:pPr>
        <w:spacing w:line="580" w:lineRule="exact"/>
        <w:jc w:val="center"/>
        <w:rPr>
          <w:rFonts w:ascii="楷体_GB2312" w:hAnsi="Calibri" w:eastAsia="楷体_GB2312" w:cs="Times New Roman"/>
          <w:sz w:val="32"/>
          <w:szCs w:val="32"/>
        </w:rPr>
      </w:pPr>
      <w:r>
        <w:rPr>
          <w:rFonts w:hint="eastAsia" w:ascii="楷体_GB2312" w:hAnsi="Calibri" w:eastAsia="楷体_GB2312" w:cs="Times New Roman"/>
          <w:sz w:val="32"/>
          <w:szCs w:val="32"/>
        </w:rPr>
        <w:t>奉化区商务局</w:t>
      </w:r>
    </w:p>
    <w:p>
      <w:pPr>
        <w:spacing w:line="580" w:lineRule="exact"/>
        <w:jc w:val="center"/>
        <w:rPr>
          <w:rFonts w:ascii="楷体_GB2312" w:hAnsi="Calibri" w:eastAsia="楷体_GB2312" w:cs="Times New Roman"/>
          <w:sz w:val="32"/>
          <w:szCs w:val="32"/>
        </w:rPr>
      </w:pPr>
      <w:r>
        <w:rPr>
          <w:rFonts w:hint="eastAsia" w:ascii="楷体_GB2312" w:hAnsi="Calibri" w:eastAsia="楷体_GB2312" w:cs="Times New Roman"/>
          <w:sz w:val="32"/>
          <w:szCs w:val="32"/>
        </w:rPr>
        <w:t>202</w:t>
      </w:r>
      <w:r>
        <w:rPr>
          <w:rFonts w:hint="eastAsia" w:ascii="楷体_GB2312" w:hAnsi="Calibri" w:eastAsia="楷体_GB2312" w:cs="Times New Roman"/>
          <w:sz w:val="32"/>
          <w:szCs w:val="32"/>
          <w:lang w:val="en-US" w:eastAsia="zh-CN"/>
        </w:rPr>
        <w:t>1</w:t>
      </w:r>
      <w:r>
        <w:rPr>
          <w:rFonts w:hint="eastAsia" w:ascii="楷体_GB2312" w:hAnsi="Calibri" w:eastAsia="楷体_GB2312" w:cs="Times New Roman"/>
          <w:sz w:val="32"/>
          <w:szCs w:val="32"/>
        </w:rPr>
        <w:t>年8月</w:t>
      </w:r>
    </w:p>
    <w:p>
      <w:pPr>
        <w:spacing w:line="580" w:lineRule="exact"/>
        <w:rPr>
          <w:rFonts w:ascii="楷体_GB2312" w:hAnsi="Calibri" w:eastAsia="楷体_GB2312" w:cs="Times New Roman"/>
          <w:sz w:val="32"/>
          <w:szCs w:val="32"/>
        </w:rPr>
        <w:sectPr>
          <w:headerReference r:id="rId3" w:type="default"/>
          <w:footerReference r:id="rId4" w:type="default"/>
          <w:pgSz w:w="11906" w:h="16838"/>
          <w:pgMar w:top="2098" w:right="1474" w:bottom="1814" w:left="1588" w:header="851" w:footer="992" w:gutter="0"/>
          <w:pgNumType w:fmt="upperRoman" w:start="1"/>
          <w:cols w:space="425" w:num="1"/>
          <w:docGrid w:type="lines" w:linePitch="312" w:charSpace="0"/>
        </w:sectPr>
      </w:pPr>
    </w:p>
    <w:sdt>
      <w:sdtPr>
        <w:rPr>
          <w:rFonts w:ascii="宋体" w:hAnsi="宋体" w:eastAsia="宋体"/>
        </w:rPr>
        <w:id w:val="147472768"/>
        <w:docPartObj>
          <w:docPartGallery w:val="Table of Contents"/>
          <w:docPartUnique/>
        </w:docPartObj>
      </w:sdtPr>
      <w:sdtEndPr>
        <w:rPr>
          <w:rFonts w:ascii="宋体" w:hAnsi="宋体" w:eastAsia="宋体"/>
          <w:b/>
        </w:rPr>
      </w:sdtEndPr>
      <w:sdtContent>
        <w:p>
          <w:pPr>
            <w:spacing w:line="400" w:lineRule="exact"/>
            <w:jc w:val="center"/>
            <w:rPr>
              <w:rFonts w:ascii="仿宋_GB2312" w:hAnsi="仿宋_GB2312" w:eastAsia="仿宋_GB2312" w:cs="仿宋_GB2312"/>
              <w:szCs w:val="21"/>
            </w:rPr>
          </w:pPr>
          <w:bookmarkStart w:id="0" w:name="_Toc56161162"/>
          <w:bookmarkStart w:id="1" w:name="_Toc56161109"/>
          <w:r>
            <w:rPr>
              <w:rStyle w:val="33"/>
              <w:rFonts w:hint="eastAsia" w:ascii="黑体" w:hAnsi="黑体" w:eastAsia="黑体"/>
              <w:color w:val="auto"/>
              <w:u w:val="none"/>
            </w:rPr>
            <w:t>目  录</w:t>
          </w:r>
        </w:p>
        <w:p>
          <w:pPr>
            <w:pStyle w:val="18"/>
            <w:tabs>
              <w:tab w:val="right" w:leader="dot" w:pos="8834"/>
            </w:tabs>
          </w:pPr>
          <w:r>
            <w:rPr>
              <w:rFonts w:hint="eastAsia" w:ascii="仿宋_GB2312" w:hAnsi="仿宋_GB2312" w:eastAsia="仿宋_GB2312" w:cs="仿宋_GB2312"/>
              <w:kern w:val="0"/>
              <w:szCs w:val="21"/>
            </w:rPr>
            <w:fldChar w:fldCharType="begin"/>
          </w:r>
          <w:r>
            <w:rPr>
              <w:rFonts w:hint="eastAsia" w:ascii="仿宋_GB2312" w:hAnsi="仿宋_GB2312" w:eastAsia="仿宋_GB2312" w:cs="仿宋_GB2312"/>
              <w:szCs w:val="21"/>
            </w:rPr>
            <w:instrText xml:space="preserve">TOC \o "1-2" \h \u </w:instrText>
          </w:r>
          <w:r>
            <w:rPr>
              <w:rFonts w:hint="eastAsia" w:ascii="仿宋_GB2312" w:hAnsi="仿宋_GB2312" w:eastAsia="仿宋_GB2312" w:cs="仿宋_GB2312"/>
              <w:kern w:val="0"/>
              <w:szCs w:val="21"/>
            </w:rPr>
            <w:fldChar w:fldCharType="separate"/>
          </w:r>
          <w:r>
            <w:fldChar w:fldCharType="begin"/>
          </w:r>
          <w:r>
            <w:instrText xml:space="preserve"> HYPERLINK \l "_Toc65691814" </w:instrText>
          </w:r>
          <w:r>
            <w:fldChar w:fldCharType="separate"/>
          </w:r>
          <w:r>
            <w:rPr>
              <w:rStyle w:val="33"/>
              <w:rFonts w:ascii="黑体" w:hAnsi="黑体" w:eastAsia="黑体"/>
            </w:rPr>
            <w:t>一、发展背景</w:t>
          </w:r>
          <w:r>
            <w:tab/>
          </w:r>
          <w:r>
            <w:fldChar w:fldCharType="begin"/>
          </w:r>
          <w:r>
            <w:instrText xml:space="preserve"> PAGEREF _Toc65691814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"_Toc65691815" </w:instrText>
          </w:r>
          <w:r>
            <w:fldChar w:fldCharType="separate"/>
          </w:r>
          <w:r>
            <w:rPr>
              <w:rStyle w:val="33"/>
              <w:rFonts w:ascii="楷体_GB2312" w:hAnsi="黑体" w:eastAsia="楷体_GB2312"/>
              <w:b/>
            </w:rPr>
            <w:t>（一）现实基础</w:t>
          </w:r>
          <w:r>
            <w:tab/>
          </w:r>
          <w:r>
            <w:fldChar w:fldCharType="begin"/>
          </w:r>
          <w:r>
            <w:instrText xml:space="preserve"> PAGEREF _Toc65691815 \h </w:instrText>
          </w:r>
          <w:r>
            <w:fldChar w:fldCharType="separate"/>
          </w:r>
          <w:r>
            <w:t>1</w:t>
          </w:r>
          <w:r>
            <w:fldChar w:fldCharType="end"/>
          </w:r>
          <w:r>
            <w:fldChar w:fldCharType="end"/>
          </w:r>
        </w:p>
        <w:p>
          <w:pPr>
            <w:pStyle w:val="22"/>
            <w:tabs>
              <w:tab w:val="right" w:leader="dot" w:pos="8834"/>
            </w:tabs>
          </w:pPr>
          <w:r>
            <w:fldChar w:fldCharType="begin"/>
          </w:r>
          <w:r>
            <w:instrText xml:space="preserve"> HYPERLINK \l "_Toc65691821" </w:instrText>
          </w:r>
          <w:r>
            <w:fldChar w:fldCharType="separate"/>
          </w:r>
          <w:r>
            <w:rPr>
              <w:rStyle w:val="33"/>
              <w:rFonts w:ascii="楷体_GB2312" w:hAnsi="黑体" w:eastAsia="楷体_GB2312"/>
              <w:b/>
            </w:rPr>
            <w:t>（二）存在问题</w:t>
          </w:r>
          <w:r>
            <w:tab/>
          </w:r>
          <w:r>
            <w:fldChar w:fldCharType="begin"/>
          </w:r>
          <w:r>
            <w:instrText xml:space="preserve"> PAGEREF _Toc65691821 \h </w:instrText>
          </w:r>
          <w:r>
            <w:fldChar w:fldCharType="separate"/>
          </w:r>
          <w:r>
            <w:t>5</w:t>
          </w:r>
          <w:r>
            <w:fldChar w:fldCharType="end"/>
          </w:r>
          <w:r>
            <w:fldChar w:fldCharType="end"/>
          </w:r>
        </w:p>
        <w:p>
          <w:pPr>
            <w:pStyle w:val="18"/>
            <w:tabs>
              <w:tab w:val="right" w:leader="dot" w:pos="8834"/>
            </w:tabs>
          </w:pPr>
          <w:r>
            <w:fldChar w:fldCharType="begin"/>
          </w:r>
          <w:r>
            <w:instrText xml:space="preserve"> HYPERLINK \l "_Toc65691826" </w:instrText>
          </w:r>
          <w:r>
            <w:fldChar w:fldCharType="separate"/>
          </w:r>
          <w:r>
            <w:rPr>
              <w:rStyle w:val="33"/>
              <w:rFonts w:ascii="黑体" w:hAnsi="黑体" w:eastAsia="黑体"/>
            </w:rPr>
            <w:t>二、发展环境</w:t>
          </w:r>
          <w:r>
            <w:tab/>
          </w:r>
          <w:r>
            <w:fldChar w:fldCharType="begin"/>
          </w:r>
          <w:r>
            <w:instrText xml:space="preserve"> PAGEREF _Toc65691826 \h </w:instrText>
          </w:r>
          <w:r>
            <w:fldChar w:fldCharType="separate"/>
          </w:r>
          <w:r>
            <w:t>6</w:t>
          </w:r>
          <w:r>
            <w:fldChar w:fldCharType="end"/>
          </w:r>
          <w:r>
            <w:fldChar w:fldCharType="end"/>
          </w:r>
        </w:p>
        <w:p>
          <w:pPr>
            <w:pStyle w:val="22"/>
            <w:tabs>
              <w:tab w:val="right" w:leader="dot" w:pos="8834"/>
            </w:tabs>
          </w:pPr>
          <w:r>
            <w:fldChar w:fldCharType="begin"/>
          </w:r>
          <w:r>
            <w:instrText xml:space="preserve"> HYPERLINK \l "_Toc65691827" </w:instrText>
          </w:r>
          <w:r>
            <w:fldChar w:fldCharType="separate"/>
          </w:r>
          <w:r>
            <w:rPr>
              <w:rStyle w:val="33"/>
              <w:rFonts w:ascii="楷体_GB2312" w:hAnsi="黑体" w:eastAsia="楷体_GB2312"/>
              <w:b/>
            </w:rPr>
            <w:t>（一）机遇</w:t>
          </w:r>
          <w:r>
            <w:tab/>
          </w:r>
          <w:r>
            <w:fldChar w:fldCharType="begin"/>
          </w:r>
          <w:r>
            <w:instrText xml:space="preserve"> PAGEREF _Toc65691827 \h </w:instrText>
          </w:r>
          <w:r>
            <w:fldChar w:fldCharType="separate"/>
          </w:r>
          <w:r>
            <w:t>6</w:t>
          </w:r>
          <w:r>
            <w:fldChar w:fldCharType="end"/>
          </w:r>
          <w:r>
            <w:fldChar w:fldCharType="end"/>
          </w:r>
        </w:p>
        <w:p>
          <w:pPr>
            <w:pStyle w:val="22"/>
            <w:tabs>
              <w:tab w:val="right" w:leader="dot" w:pos="8834"/>
            </w:tabs>
          </w:pPr>
          <w:r>
            <w:fldChar w:fldCharType="begin"/>
          </w:r>
          <w:r>
            <w:instrText xml:space="preserve"> HYPERLINK \l "_Toc65691828" </w:instrText>
          </w:r>
          <w:r>
            <w:fldChar w:fldCharType="separate"/>
          </w:r>
          <w:r>
            <w:rPr>
              <w:rStyle w:val="33"/>
              <w:rFonts w:ascii="楷体_GB2312" w:hAnsi="黑体" w:eastAsia="楷体_GB2312"/>
              <w:b/>
            </w:rPr>
            <w:t>（二）挑战</w:t>
          </w:r>
          <w:r>
            <w:tab/>
          </w:r>
          <w:r>
            <w:fldChar w:fldCharType="begin"/>
          </w:r>
          <w:r>
            <w:instrText xml:space="preserve"> PAGEREF _Toc65691828 \h </w:instrText>
          </w:r>
          <w:r>
            <w:fldChar w:fldCharType="separate"/>
          </w:r>
          <w:r>
            <w:t>8</w:t>
          </w:r>
          <w:r>
            <w:fldChar w:fldCharType="end"/>
          </w:r>
          <w:r>
            <w:fldChar w:fldCharType="end"/>
          </w:r>
        </w:p>
        <w:p>
          <w:pPr>
            <w:pStyle w:val="18"/>
            <w:tabs>
              <w:tab w:val="right" w:leader="dot" w:pos="8834"/>
            </w:tabs>
          </w:pPr>
          <w:r>
            <w:fldChar w:fldCharType="begin"/>
          </w:r>
          <w:r>
            <w:instrText xml:space="preserve"> HYPERLINK \l "_Toc65691829" </w:instrText>
          </w:r>
          <w:r>
            <w:fldChar w:fldCharType="separate"/>
          </w:r>
          <w:r>
            <w:rPr>
              <w:rStyle w:val="33"/>
              <w:rFonts w:ascii="黑体" w:hAnsi="黑体" w:eastAsia="黑体"/>
            </w:rPr>
            <w:t>三、总体要求</w:t>
          </w:r>
          <w:r>
            <w:tab/>
          </w:r>
          <w:r>
            <w:fldChar w:fldCharType="begin"/>
          </w:r>
          <w:r>
            <w:instrText xml:space="preserve"> PAGEREF _Toc65691829 \h </w:instrText>
          </w:r>
          <w:r>
            <w:fldChar w:fldCharType="separate"/>
          </w:r>
          <w:r>
            <w:t>9</w:t>
          </w:r>
          <w:r>
            <w:fldChar w:fldCharType="end"/>
          </w:r>
          <w:r>
            <w:fldChar w:fldCharType="end"/>
          </w:r>
        </w:p>
        <w:p>
          <w:pPr>
            <w:pStyle w:val="22"/>
            <w:tabs>
              <w:tab w:val="right" w:leader="dot" w:pos="8834"/>
            </w:tabs>
          </w:pPr>
          <w:r>
            <w:fldChar w:fldCharType="begin"/>
          </w:r>
          <w:r>
            <w:instrText xml:space="preserve"> HYPERLINK \l "_Toc65691830" </w:instrText>
          </w:r>
          <w:r>
            <w:fldChar w:fldCharType="separate"/>
          </w:r>
          <w:r>
            <w:rPr>
              <w:rStyle w:val="33"/>
              <w:rFonts w:ascii="楷体_GB2312" w:hAnsi="黑体" w:eastAsia="楷体_GB2312"/>
              <w:b/>
            </w:rPr>
            <w:t>（一）指导思想</w:t>
          </w:r>
          <w:r>
            <w:tab/>
          </w:r>
          <w:r>
            <w:fldChar w:fldCharType="begin"/>
          </w:r>
          <w:r>
            <w:instrText xml:space="preserve"> PAGEREF _Toc65691830 \h </w:instrText>
          </w:r>
          <w:r>
            <w:fldChar w:fldCharType="separate"/>
          </w:r>
          <w:r>
            <w:t>9</w:t>
          </w:r>
          <w:r>
            <w:fldChar w:fldCharType="end"/>
          </w:r>
          <w:r>
            <w:fldChar w:fldCharType="end"/>
          </w:r>
        </w:p>
        <w:p>
          <w:pPr>
            <w:pStyle w:val="22"/>
            <w:tabs>
              <w:tab w:val="right" w:leader="dot" w:pos="8834"/>
            </w:tabs>
          </w:pPr>
          <w:r>
            <w:fldChar w:fldCharType="begin"/>
          </w:r>
          <w:r>
            <w:instrText xml:space="preserve"> HYPERLINK \l "_Toc65691831" </w:instrText>
          </w:r>
          <w:r>
            <w:fldChar w:fldCharType="separate"/>
          </w:r>
          <w:r>
            <w:rPr>
              <w:rStyle w:val="33"/>
              <w:rFonts w:ascii="楷体_GB2312" w:hAnsi="黑体" w:eastAsia="楷体_GB2312"/>
              <w:b/>
            </w:rPr>
            <w:t>（二）基本原则</w:t>
          </w:r>
          <w:r>
            <w:tab/>
          </w:r>
          <w:r>
            <w:fldChar w:fldCharType="begin"/>
          </w:r>
          <w:r>
            <w:instrText xml:space="preserve"> PAGEREF _Toc65691831 \h </w:instrText>
          </w:r>
          <w:r>
            <w:fldChar w:fldCharType="separate"/>
          </w:r>
          <w:r>
            <w:t>10</w:t>
          </w:r>
          <w:r>
            <w:fldChar w:fldCharType="end"/>
          </w:r>
          <w:r>
            <w:fldChar w:fldCharType="end"/>
          </w:r>
        </w:p>
        <w:p>
          <w:pPr>
            <w:pStyle w:val="22"/>
            <w:tabs>
              <w:tab w:val="right" w:leader="dot" w:pos="8834"/>
            </w:tabs>
          </w:pPr>
          <w:r>
            <w:fldChar w:fldCharType="begin"/>
          </w:r>
          <w:r>
            <w:instrText xml:space="preserve"> HYPERLINK \l "_Toc65691832" </w:instrText>
          </w:r>
          <w:r>
            <w:fldChar w:fldCharType="separate"/>
          </w:r>
          <w:r>
            <w:rPr>
              <w:rStyle w:val="33"/>
              <w:rFonts w:ascii="楷体_GB2312" w:hAnsi="黑体" w:eastAsia="楷体_GB2312"/>
              <w:b/>
            </w:rPr>
            <w:t>（三）功能定位</w:t>
          </w:r>
          <w:r>
            <w:tab/>
          </w:r>
          <w:r>
            <w:fldChar w:fldCharType="begin"/>
          </w:r>
          <w:r>
            <w:instrText xml:space="preserve"> PAGEREF _Toc65691832 \h </w:instrText>
          </w:r>
          <w:r>
            <w:fldChar w:fldCharType="separate"/>
          </w:r>
          <w:r>
            <w:t>11</w:t>
          </w:r>
          <w:r>
            <w:fldChar w:fldCharType="end"/>
          </w:r>
          <w:r>
            <w:fldChar w:fldCharType="end"/>
          </w:r>
        </w:p>
        <w:p>
          <w:pPr>
            <w:pStyle w:val="22"/>
            <w:tabs>
              <w:tab w:val="right" w:leader="dot" w:pos="8834"/>
            </w:tabs>
          </w:pPr>
          <w:r>
            <w:fldChar w:fldCharType="begin"/>
          </w:r>
          <w:r>
            <w:instrText xml:space="preserve"> HYPERLINK \l "_Toc65691836" </w:instrText>
          </w:r>
          <w:r>
            <w:fldChar w:fldCharType="separate"/>
          </w:r>
          <w:r>
            <w:rPr>
              <w:rStyle w:val="33"/>
              <w:rFonts w:ascii="楷体_GB2312" w:hAnsi="黑体" w:eastAsia="楷体_GB2312"/>
              <w:b/>
            </w:rPr>
            <w:t>（四）发展目标</w:t>
          </w:r>
          <w:r>
            <w:tab/>
          </w:r>
          <w:r>
            <w:fldChar w:fldCharType="begin"/>
          </w:r>
          <w:r>
            <w:instrText xml:space="preserve"> PAGEREF _Toc65691836 \h </w:instrText>
          </w:r>
          <w:r>
            <w:fldChar w:fldCharType="separate"/>
          </w:r>
          <w:r>
            <w:t>12</w:t>
          </w:r>
          <w:r>
            <w:fldChar w:fldCharType="end"/>
          </w:r>
          <w:r>
            <w:fldChar w:fldCharType="end"/>
          </w:r>
        </w:p>
        <w:p>
          <w:pPr>
            <w:pStyle w:val="18"/>
            <w:tabs>
              <w:tab w:val="right" w:leader="dot" w:pos="8834"/>
            </w:tabs>
          </w:pPr>
          <w:r>
            <w:fldChar w:fldCharType="begin"/>
          </w:r>
          <w:r>
            <w:instrText xml:space="preserve"> HYPERLINK \l "_Toc65691841" </w:instrText>
          </w:r>
          <w:r>
            <w:fldChar w:fldCharType="separate"/>
          </w:r>
          <w:r>
            <w:rPr>
              <w:rStyle w:val="33"/>
              <w:rFonts w:ascii="黑体" w:hAnsi="黑体" w:eastAsia="黑体"/>
            </w:rPr>
            <w:t>四、主要任务</w:t>
          </w:r>
          <w:r>
            <w:tab/>
          </w:r>
          <w:r>
            <w:fldChar w:fldCharType="begin"/>
          </w:r>
          <w:r>
            <w:instrText xml:space="preserve"> PAGEREF _Toc65691841 \h </w:instrText>
          </w:r>
          <w:r>
            <w:fldChar w:fldCharType="separate"/>
          </w:r>
          <w:r>
            <w:t>14</w:t>
          </w:r>
          <w:r>
            <w:fldChar w:fldCharType="end"/>
          </w:r>
          <w:r>
            <w:fldChar w:fldCharType="end"/>
          </w:r>
        </w:p>
        <w:p>
          <w:pPr>
            <w:pStyle w:val="22"/>
            <w:tabs>
              <w:tab w:val="right" w:leader="dot" w:pos="8834"/>
            </w:tabs>
          </w:pPr>
          <w:r>
            <w:fldChar w:fldCharType="begin"/>
          </w:r>
          <w:r>
            <w:instrText xml:space="preserve"> HYPERLINK \l "_Toc65691842" </w:instrText>
          </w:r>
          <w:r>
            <w:fldChar w:fldCharType="separate"/>
          </w:r>
          <w:r>
            <w:rPr>
              <w:rStyle w:val="33"/>
              <w:rFonts w:ascii="楷体_GB2312" w:hAnsi="黑体" w:eastAsia="楷体_GB2312"/>
              <w:b/>
            </w:rPr>
            <w:t>（一）融入宁波自贸片区</w:t>
          </w:r>
          <w:r>
            <w:tab/>
          </w:r>
          <w:r>
            <w:fldChar w:fldCharType="begin"/>
          </w:r>
          <w:r>
            <w:instrText xml:space="preserve"> PAGEREF _Toc65691842 \h </w:instrText>
          </w:r>
          <w:r>
            <w:fldChar w:fldCharType="separate"/>
          </w:r>
          <w:r>
            <w:t>14</w:t>
          </w:r>
          <w:r>
            <w:fldChar w:fldCharType="end"/>
          </w:r>
          <w:r>
            <w:fldChar w:fldCharType="end"/>
          </w:r>
        </w:p>
        <w:p>
          <w:pPr>
            <w:pStyle w:val="22"/>
            <w:tabs>
              <w:tab w:val="right" w:leader="dot" w:pos="8834"/>
            </w:tabs>
          </w:pPr>
          <w:r>
            <w:fldChar w:fldCharType="begin"/>
          </w:r>
          <w:r>
            <w:instrText xml:space="preserve"> HYPERLINK \l "_Toc65691845" </w:instrText>
          </w:r>
          <w:r>
            <w:fldChar w:fldCharType="separate"/>
          </w:r>
          <w:r>
            <w:rPr>
              <w:rStyle w:val="33"/>
              <w:rFonts w:ascii="楷体_GB2312" w:hAnsi="黑体" w:eastAsia="楷体_GB2312"/>
              <w:b/>
            </w:rPr>
            <w:t>（二）提升对外贸易质量</w:t>
          </w:r>
          <w:r>
            <w:tab/>
          </w:r>
          <w:r>
            <w:fldChar w:fldCharType="begin"/>
          </w:r>
          <w:r>
            <w:instrText xml:space="preserve"> PAGEREF _Toc65691845 \h </w:instrText>
          </w:r>
          <w:r>
            <w:fldChar w:fldCharType="separate"/>
          </w:r>
          <w:r>
            <w:t>17</w:t>
          </w:r>
          <w:r>
            <w:fldChar w:fldCharType="end"/>
          </w:r>
          <w:r>
            <w:fldChar w:fldCharType="end"/>
          </w:r>
        </w:p>
        <w:p>
          <w:pPr>
            <w:pStyle w:val="22"/>
            <w:tabs>
              <w:tab w:val="right" w:leader="dot" w:pos="8834"/>
            </w:tabs>
          </w:pPr>
          <w:r>
            <w:fldChar w:fldCharType="begin"/>
          </w:r>
          <w:r>
            <w:instrText xml:space="preserve"> HYPERLINK \l "_Toc65691849" </w:instrText>
          </w:r>
          <w:r>
            <w:fldChar w:fldCharType="separate"/>
          </w:r>
          <w:r>
            <w:rPr>
              <w:rStyle w:val="33"/>
              <w:rFonts w:ascii="楷体_GB2312" w:hAnsi="黑体" w:eastAsia="楷体_GB2312"/>
              <w:b/>
            </w:rPr>
            <w:t>（三）提高利用外资水平</w:t>
          </w:r>
          <w:r>
            <w:tab/>
          </w:r>
          <w:r>
            <w:fldChar w:fldCharType="begin"/>
          </w:r>
          <w:r>
            <w:instrText xml:space="preserve"> PAGEREF _Toc65691849 \h </w:instrText>
          </w:r>
          <w:r>
            <w:fldChar w:fldCharType="separate"/>
          </w:r>
          <w:r>
            <w:t>19</w:t>
          </w:r>
          <w:r>
            <w:fldChar w:fldCharType="end"/>
          </w:r>
          <w:r>
            <w:fldChar w:fldCharType="end"/>
          </w:r>
        </w:p>
        <w:p>
          <w:pPr>
            <w:pStyle w:val="22"/>
            <w:tabs>
              <w:tab w:val="right" w:leader="dot" w:pos="8834"/>
            </w:tabs>
          </w:pPr>
          <w:r>
            <w:fldChar w:fldCharType="begin"/>
          </w:r>
          <w:r>
            <w:instrText xml:space="preserve"> HYPERLINK \l "_Toc65691854" </w:instrText>
          </w:r>
          <w:r>
            <w:fldChar w:fldCharType="separate"/>
          </w:r>
          <w:r>
            <w:rPr>
              <w:rStyle w:val="33"/>
              <w:rFonts w:ascii="楷体_GB2312" w:hAnsi="黑体" w:eastAsia="楷体_GB2312"/>
              <w:b/>
            </w:rPr>
            <w:t>（四）开拓对外投资空间</w:t>
          </w:r>
          <w:r>
            <w:tab/>
          </w:r>
          <w:r>
            <w:fldChar w:fldCharType="begin"/>
          </w:r>
          <w:r>
            <w:instrText xml:space="preserve"> PAGEREF _Toc65691854 \h </w:instrText>
          </w:r>
          <w:r>
            <w:fldChar w:fldCharType="separate"/>
          </w:r>
          <w:r>
            <w:t>22</w:t>
          </w:r>
          <w:r>
            <w:fldChar w:fldCharType="end"/>
          </w:r>
          <w:r>
            <w:fldChar w:fldCharType="end"/>
          </w:r>
        </w:p>
        <w:p>
          <w:pPr>
            <w:pStyle w:val="22"/>
            <w:tabs>
              <w:tab w:val="right" w:leader="dot" w:pos="8834"/>
            </w:tabs>
          </w:pPr>
          <w:r>
            <w:fldChar w:fldCharType="begin"/>
          </w:r>
          <w:r>
            <w:instrText xml:space="preserve"> HYPERLINK \l "_Toc65691857" </w:instrText>
          </w:r>
          <w:r>
            <w:fldChar w:fldCharType="separate"/>
          </w:r>
          <w:r>
            <w:rPr>
              <w:rStyle w:val="33"/>
              <w:rFonts w:ascii="楷体_GB2312" w:hAnsi="黑体" w:eastAsia="楷体_GB2312"/>
              <w:b/>
            </w:rPr>
            <w:t>（五）加快服务贸易发展</w:t>
          </w:r>
          <w:r>
            <w:tab/>
          </w:r>
          <w:r>
            <w:fldChar w:fldCharType="begin"/>
          </w:r>
          <w:r>
            <w:instrText xml:space="preserve"> PAGEREF _Toc65691857 \h </w:instrText>
          </w:r>
          <w:r>
            <w:fldChar w:fldCharType="separate"/>
          </w:r>
          <w:r>
            <w:t>23</w:t>
          </w:r>
          <w:r>
            <w:fldChar w:fldCharType="end"/>
          </w:r>
          <w:r>
            <w:fldChar w:fldCharType="end"/>
          </w:r>
        </w:p>
        <w:p>
          <w:pPr>
            <w:pStyle w:val="22"/>
            <w:tabs>
              <w:tab w:val="right" w:leader="dot" w:pos="8834"/>
            </w:tabs>
          </w:pPr>
          <w:r>
            <w:fldChar w:fldCharType="begin"/>
          </w:r>
          <w:r>
            <w:instrText xml:space="preserve"> HYPERLINK \l "_Toc65691860" </w:instrText>
          </w:r>
          <w:r>
            <w:fldChar w:fldCharType="separate"/>
          </w:r>
          <w:r>
            <w:rPr>
              <w:rStyle w:val="33"/>
              <w:rFonts w:ascii="楷体_GB2312" w:hAnsi="黑体" w:eastAsia="楷体_GB2312"/>
              <w:b/>
            </w:rPr>
            <w:t>（六）统筹境内外双循环</w:t>
          </w:r>
          <w:r>
            <w:tab/>
          </w:r>
          <w:r>
            <w:fldChar w:fldCharType="begin"/>
          </w:r>
          <w:r>
            <w:instrText xml:space="preserve"> PAGEREF _Toc65691860 \h </w:instrText>
          </w:r>
          <w:r>
            <w:fldChar w:fldCharType="separate"/>
          </w:r>
          <w:r>
            <w:t>25</w:t>
          </w:r>
          <w:r>
            <w:fldChar w:fldCharType="end"/>
          </w:r>
          <w:r>
            <w:fldChar w:fldCharType="end"/>
          </w:r>
        </w:p>
        <w:p>
          <w:pPr>
            <w:pStyle w:val="22"/>
            <w:tabs>
              <w:tab w:val="right" w:leader="dot" w:pos="8834"/>
            </w:tabs>
          </w:pPr>
          <w:r>
            <w:fldChar w:fldCharType="begin"/>
          </w:r>
          <w:r>
            <w:instrText xml:space="preserve"> HYPERLINK \l "_Toc65691861" </w:instrText>
          </w:r>
          <w:r>
            <w:fldChar w:fldCharType="separate"/>
          </w:r>
          <w:r>
            <w:rPr>
              <w:rStyle w:val="33"/>
              <w:rFonts w:ascii="楷体_GB2312" w:hAnsi="黑体" w:eastAsia="楷体_GB2312"/>
              <w:b/>
            </w:rPr>
            <w:t>（七）培育跨境电商生态</w:t>
          </w:r>
          <w:r>
            <w:tab/>
          </w:r>
          <w:r>
            <w:fldChar w:fldCharType="begin"/>
          </w:r>
          <w:r>
            <w:instrText xml:space="preserve"> PAGEREF _Toc65691861 \h </w:instrText>
          </w:r>
          <w:r>
            <w:fldChar w:fldCharType="separate"/>
          </w:r>
          <w:r>
            <w:t>28</w:t>
          </w:r>
          <w:r>
            <w:fldChar w:fldCharType="end"/>
          </w:r>
          <w:r>
            <w:fldChar w:fldCharType="end"/>
          </w:r>
        </w:p>
        <w:p>
          <w:pPr>
            <w:pStyle w:val="22"/>
            <w:tabs>
              <w:tab w:val="right" w:leader="dot" w:pos="8834"/>
            </w:tabs>
          </w:pPr>
          <w:r>
            <w:fldChar w:fldCharType="begin"/>
          </w:r>
          <w:r>
            <w:instrText xml:space="preserve"> HYPERLINK \l "_Toc65691862" </w:instrText>
          </w:r>
          <w:r>
            <w:fldChar w:fldCharType="separate"/>
          </w:r>
          <w:r>
            <w:rPr>
              <w:rStyle w:val="33"/>
              <w:rFonts w:ascii="楷体_GB2312" w:hAnsi="黑体" w:eastAsia="楷体_GB2312"/>
              <w:b/>
            </w:rPr>
            <w:t>（八）打造开放型新平台</w:t>
          </w:r>
          <w:r>
            <w:tab/>
          </w:r>
          <w:r>
            <w:fldChar w:fldCharType="begin"/>
          </w:r>
          <w:r>
            <w:instrText xml:space="preserve"> PAGEREF _Toc65691862 \h </w:instrText>
          </w:r>
          <w:r>
            <w:fldChar w:fldCharType="separate"/>
          </w:r>
          <w:r>
            <w:t>30</w:t>
          </w:r>
          <w:r>
            <w:fldChar w:fldCharType="end"/>
          </w:r>
          <w:r>
            <w:fldChar w:fldCharType="end"/>
          </w:r>
        </w:p>
        <w:p>
          <w:pPr>
            <w:pStyle w:val="18"/>
            <w:tabs>
              <w:tab w:val="right" w:leader="dot" w:pos="8834"/>
            </w:tabs>
          </w:pPr>
          <w:r>
            <w:fldChar w:fldCharType="begin"/>
          </w:r>
          <w:r>
            <w:instrText xml:space="preserve"> HYPERLINK \l "_Toc65691863" </w:instrText>
          </w:r>
          <w:r>
            <w:fldChar w:fldCharType="separate"/>
          </w:r>
          <w:r>
            <w:rPr>
              <w:rStyle w:val="33"/>
              <w:rFonts w:ascii="黑体" w:hAnsi="黑体" w:eastAsia="黑体"/>
            </w:rPr>
            <w:t>五、保障措施</w:t>
          </w:r>
          <w:r>
            <w:tab/>
          </w:r>
          <w:r>
            <w:fldChar w:fldCharType="begin"/>
          </w:r>
          <w:r>
            <w:instrText xml:space="preserve"> PAGEREF _Toc65691863 \h </w:instrText>
          </w:r>
          <w:r>
            <w:fldChar w:fldCharType="separate"/>
          </w:r>
          <w:r>
            <w:t>31</w:t>
          </w:r>
          <w:r>
            <w:fldChar w:fldCharType="end"/>
          </w:r>
          <w:r>
            <w:fldChar w:fldCharType="end"/>
          </w:r>
        </w:p>
        <w:p>
          <w:pPr>
            <w:pStyle w:val="22"/>
            <w:tabs>
              <w:tab w:val="right" w:leader="dot" w:pos="8834"/>
            </w:tabs>
          </w:pPr>
          <w:r>
            <w:fldChar w:fldCharType="begin"/>
          </w:r>
          <w:r>
            <w:instrText xml:space="preserve"> HYPERLINK \l "_Toc65691864" </w:instrText>
          </w:r>
          <w:r>
            <w:fldChar w:fldCharType="separate"/>
          </w:r>
          <w:r>
            <w:rPr>
              <w:rStyle w:val="33"/>
              <w:rFonts w:ascii="楷体_GB2312" w:hAnsi="黑体" w:eastAsia="楷体_GB2312"/>
              <w:b/>
            </w:rPr>
            <w:t>（一）组织保障</w:t>
          </w:r>
          <w:r>
            <w:tab/>
          </w:r>
          <w:r>
            <w:fldChar w:fldCharType="begin"/>
          </w:r>
          <w:r>
            <w:instrText xml:space="preserve"> PAGEREF _Toc65691864 \h </w:instrText>
          </w:r>
          <w:r>
            <w:fldChar w:fldCharType="separate"/>
          </w:r>
          <w:r>
            <w:t>31</w:t>
          </w:r>
          <w:r>
            <w:fldChar w:fldCharType="end"/>
          </w:r>
          <w:r>
            <w:fldChar w:fldCharType="end"/>
          </w:r>
        </w:p>
        <w:p>
          <w:pPr>
            <w:pStyle w:val="22"/>
            <w:tabs>
              <w:tab w:val="right" w:leader="dot" w:pos="8834"/>
            </w:tabs>
          </w:pPr>
          <w:r>
            <w:fldChar w:fldCharType="begin"/>
          </w:r>
          <w:r>
            <w:instrText xml:space="preserve"> HYPERLINK \l "_Toc65691865" </w:instrText>
          </w:r>
          <w:r>
            <w:fldChar w:fldCharType="separate"/>
          </w:r>
          <w:r>
            <w:rPr>
              <w:rStyle w:val="33"/>
              <w:rFonts w:ascii="楷体_GB2312" w:hAnsi="黑体" w:eastAsia="楷体_GB2312"/>
              <w:b/>
            </w:rPr>
            <w:t>（二）政策保障</w:t>
          </w:r>
          <w:r>
            <w:tab/>
          </w:r>
          <w:r>
            <w:fldChar w:fldCharType="begin"/>
          </w:r>
          <w:r>
            <w:instrText xml:space="preserve"> PAGEREF _Toc65691865 \h </w:instrText>
          </w:r>
          <w:r>
            <w:fldChar w:fldCharType="separate"/>
          </w:r>
          <w:r>
            <w:t>32</w:t>
          </w:r>
          <w:r>
            <w:fldChar w:fldCharType="end"/>
          </w:r>
          <w:r>
            <w:fldChar w:fldCharType="end"/>
          </w:r>
        </w:p>
        <w:p>
          <w:pPr>
            <w:pStyle w:val="22"/>
            <w:tabs>
              <w:tab w:val="right" w:leader="dot" w:pos="8834"/>
            </w:tabs>
          </w:pPr>
          <w:r>
            <w:fldChar w:fldCharType="begin"/>
          </w:r>
          <w:r>
            <w:instrText xml:space="preserve"> HYPERLINK \l "_Toc65691866" </w:instrText>
          </w:r>
          <w:r>
            <w:fldChar w:fldCharType="separate"/>
          </w:r>
          <w:r>
            <w:rPr>
              <w:rStyle w:val="33"/>
              <w:rFonts w:ascii="楷体_GB2312" w:hAnsi="黑体" w:eastAsia="楷体_GB2312"/>
              <w:b/>
            </w:rPr>
            <w:t>（三）要素保障</w:t>
          </w:r>
          <w:r>
            <w:tab/>
          </w:r>
          <w:r>
            <w:fldChar w:fldCharType="begin"/>
          </w:r>
          <w:r>
            <w:instrText xml:space="preserve"> PAGEREF _Toc65691866 \h </w:instrText>
          </w:r>
          <w:r>
            <w:fldChar w:fldCharType="separate"/>
          </w:r>
          <w:r>
            <w:t>33</w:t>
          </w:r>
          <w:r>
            <w:fldChar w:fldCharType="end"/>
          </w:r>
          <w:r>
            <w:fldChar w:fldCharType="end"/>
          </w:r>
        </w:p>
        <w:p>
          <w:pPr>
            <w:pStyle w:val="22"/>
            <w:tabs>
              <w:tab w:val="right" w:leader="dot" w:pos="8834"/>
            </w:tabs>
          </w:pPr>
          <w:r>
            <w:fldChar w:fldCharType="begin"/>
          </w:r>
          <w:r>
            <w:instrText xml:space="preserve"> HYPERLINK \l "_Toc65691867" </w:instrText>
          </w:r>
          <w:r>
            <w:fldChar w:fldCharType="separate"/>
          </w:r>
          <w:r>
            <w:rPr>
              <w:rStyle w:val="33"/>
              <w:rFonts w:ascii="楷体_GB2312" w:hAnsi="黑体" w:eastAsia="楷体_GB2312"/>
              <w:b/>
            </w:rPr>
            <w:t>（四）服务保障</w:t>
          </w:r>
          <w:r>
            <w:tab/>
          </w:r>
          <w:r>
            <w:fldChar w:fldCharType="begin"/>
          </w:r>
          <w:r>
            <w:instrText xml:space="preserve"> PAGEREF _Toc65691867 \h </w:instrText>
          </w:r>
          <w:r>
            <w:fldChar w:fldCharType="separate"/>
          </w:r>
          <w:r>
            <w:t>35</w:t>
          </w:r>
          <w:r>
            <w:fldChar w:fldCharType="end"/>
          </w:r>
          <w:r>
            <w:fldChar w:fldCharType="end"/>
          </w:r>
        </w:p>
        <w:p>
          <w:pPr>
            <w:spacing w:line="400" w:lineRule="exact"/>
          </w:pPr>
          <w:r>
            <w:rPr>
              <w:rFonts w:hint="eastAsia" w:ascii="仿宋_GB2312" w:hAnsi="仿宋_GB2312" w:eastAsia="仿宋_GB2312" w:cs="仿宋_GB2312"/>
              <w:szCs w:val="21"/>
            </w:rPr>
            <w:fldChar w:fldCharType="end"/>
          </w:r>
        </w:p>
      </w:sdtContent>
    </w:sdt>
    <w:p>
      <w:pPr>
        <w:spacing w:line="580" w:lineRule="exact"/>
        <w:jc w:val="center"/>
        <w:outlineLvl w:val="0"/>
        <w:rPr>
          <w:rFonts w:ascii="黑体" w:hAnsi="黑体" w:eastAsia="黑体"/>
          <w:sz w:val="32"/>
          <w:szCs w:val="36"/>
        </w:rPr>
        <w:sectPr>
          <w:footerReference r:id="rId5" w:type="default"/>
          <w:pgSz w:w="11906" w:h="16838"/>
          <w:pgMar w:top="2098" w:right="1474" w:bottom="1814" w:left="1588" w:header="851" w:footer="992" w:gutter="0"/>
          <w:pgNumType w:fmt="upperRoman" w:start="1"/>
          <w:cols w:space="425" w:num="1"/>
          <w:docGrid w:type="lines" w:linePitch="312" w:charSpace="0"/>
        </w:sectPr>
      </w:pPr>
    </w:p>
    <w:bookmarkEnd w:id="0"/>
    <w:bookmarkEnd w:id="1"/>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四五”时期，是奉化区转变发展方式、优化经济结构、转换增长动力的关键时期，也是进一步融入宁波大区域发展、构建现代化产业体系、确保高质量发展的关键五年。科学编制全面提升开放型经济发展水平“十四五”规划，对于奉化</w:t>
      </w:r>
      <w:r>
        <w:rPr>
          <w:rFonts w:ascii="仿宋_GB2312" w:hAnsi="Calibri" w:eastAsia="仿宋_GB2312"/>
          <w:sz w:val="32"/>
          <w:szCs w:val="32"/>
        </w:rPr>
        <w:t>努力构建开放型经济新体制和对外开放新格局，力争在更高起点上实现更高水平发展</w:t>
      </w:r>
      <w:r>
        <w:rPr>
          <w:rFonts w:hint="eastAsia" w:ascii="仿宋_GB2312" w:hAnsi="Calibri" w:eastAsia="仿宋_GB2312"/>
          <w:sz w:val="32"/>
          <w:szCs w:val="32"/>
        </w:rPr>
        <w:t>具有重大深远的意义。</w:t>
      </w:r>
      <w:r>
        <w:rPr>
          <w:rFonts w:ascii="仿宋_GB2312" w:hAnsi="Calibri" w:eastAsia="仿宋_GB2312"/>
          <w:sz w:val="32"/>
          <w:szCs w:val="32"/>
        </w:rPr>
        <w:t>本规划根据国家、省、市有关决策部署，以及《</w:t>
      </w:r>
      <w:r>
        <w:rPr>
          <w:rFonts w:hint="eastAsia" w:ascii="仿宋_GB2312" w:hAnsi="Calibri" w:eastAsia="仿宋_GB2312"/>
          <w:sz w:val="32"/>
          <w:szCs w:val="32"/>
        </w:rPr>
        <w:t>中共中央国务院关于推进贸易高质量发展的指导意见</w:t>
      </w:r>
      <w:r>
        <w:rPr>
          <w:rFonts w:ascii="仿宋_GB2312" w:hAnsi="Calibri" w:eastAsia="仿宋_GB2312"/>
          <w:sz w:val="32"/>
          <w:szCs w:val="32"/>
        </w:rPr>
        <w:t>》、《</w:t>
      </w:r>
      <w:r>
        <w:rPr>
          <w:rFonts w:hint="eastAsia" w:ascii="仿宋_GB2312" w:hAnsi="Calibri" w:eastAsia="仿宋_GB2312"/>
          <w:sz w:val="32"/>
          <w:szCs w:val="32"/>
        </w:rPr>
        <w:t>浙江省商务高质量发展“十四五”规划</w:t>
      </w:r>
      <w:r>
        <w:rPr>
          <w:rFonts w:ascii="仿宋_GB2312" w:hAnsi="Calibri" w:eastAsia="仿宋_GB2312"/>
          <w:sz w:val="32"/>
          <w:szCs w:val="32"/>
        </w:rPr>
        <w:t>》</w:t>
      </w:r>
      <w:r>
        <w:rPr>
          <w:rFonts w:hint="eastAsia" w:ascii="仿宋_GB2312" w:hAnsi="Calibri" w:eastAsia="仿宋_GB2312"/>
          <w:sz w:val="32"/>
          <w:szCs w:val="32"/>
        </w:rPr>
        <w:t>、《宁波市开放发展“十四五”规划》、</w:t>
      </w:r>
      <w:r>
        <w:rPr>
          <w:rFonts w:ascii="仿宋_GB2312" w:hAnsi="Calibri" w:eastAsia="仿宋_GB2312"/>
          <w:sz w:val="32"/>
          <w:szCs w:val="32"/>
        </w:rPr>
        <w:t>《</w:t>
      </w:r>
      <w:r>
        <w:rPr>
          <w:rFonts w:hint="eastAsia" w:ascii="仿宋_GB2312" w:hAnsi="Calibri" w:eastAsia="仿宋_GB2312"/>
          <w:sz w:val="32"/>
          <w:szCs w:val="32"/>
        </w:rPr>
        <w:t>奉化区国民经济和社会发展第十四个五年规划纲要</w:t>
      </w:r>
      <w:r>
        <w:rPr>
          <w:rFonts w:ascii="仿宋_GB2312" w:hAnsi="Calibri" w:eastAsia="仿宋_GB2312"/>
          <w:sz w:val="32"/>
          <w:szCs w:val="32"/>
        </w:rPr>
        <w:t>》</w:t>
      </w:r>
      <w:r>
        <w:rPr>
          <w:rFonts w:hint="eastAsia" w:ascii="仿宋_GB2312" w:hAnsi="Calibri" w:eastAsia="仿宋_GB2312"/>
          <w:sz w:val="32"/>
          <w:szCs w:val="32"/>
        </w:rPr>
        <w:t>等</w:t>
      </w:r>
      <w:r>
        <w:rPr>
          <w:rFonts w:ascii="仿宋_GB2312" w:hAnsi="Calibri" w:eastAsia="仿宋_GB2312"/>
          <w:sz w:val="32"/>
          <w:szCs w:val="32"/>
        </w:rPr>
        <w:t>编制</w:t>
      </w:r>
      <w:r>
        <w:rPr>
          <w:rFonts w:hint="eastAsia" w:ascii="仿宋_GB2312" w:hAnsi="Calibri" w:eastAsia="仿宋_GB2312"/>
          <w:sz w:val="32"/>
          <w:szCs w:val="32"/>
        </w:rPr>
        <w:t>文件精神</w:t>
      </w:r>
      <w:r>
        <w:rPr>
          <w:rFonts w:ascii="仿宋_GB2312" w:hAnsi="Calibri" w:eastAsia="仿宋_GB2312"/>
          <w:sz w:val="32"/>
          <w:szCs w:val="32"/>
        </w:rPr>
        <w:t>，主要阐明“十</w:t>
      </w:r>
      <w:r>
        <w:rPr>
          <w:rFonts w:hint="eastAsia" w:ascii="仿宋_GB2312" w:hAnsi="Calibri" w:eastAsia="仿宋_GB2312"/>
          <w:sz w:val="32"/>
          <w:szCs w:val="32"/>
        </w:rPr>
        <w:t>四</w:t>
      </w:r>
      <w:r>
        <w:rPr>
          <w:rFonts w:ascii="仿宋_GB2312" w:hAnsi="Calibri" w:eastAsia="仿宋_GB2312"/>
          <w:sz w:val="32"/>
          <w:szCs w:val="32"/>
        </w:rPr>
        <w:t>五”时期我</w:t>
      </w:r>
      <w:r>
        <w:rPr>
          <w:rFonts w:hint="eastAsia" w:ascii="仿宋_GB2312" w:hAnsi="Calibri" w:eastAsia="仿宋_GB2312"/>
          <w:sz w:val="32"/>
          <w:szCs w:val="32"/>
        </w:rPr>
        <w:t>区</w:t>
      </w:r>
      <w:r>
        <w:rPr>
          <w:rFonts w:ascii="仿宋_GB2312" w:hAnsi="Calibri" w:eastAsia="仿宋_GB2312"/>
          <w:sz w:val="32"/>
          <w:szCs w:val="32"/>
        </w:rPr>
        <w:t>开放型经济领域发展的基本理念和战略意图，明确指导思想、基本原则、</w:t>
      </w:r>
      <w:r>
        <w:rPr>
          <w:rFonts w:hint="eastAsia" w:ascii="仿宋_GB2312" w:hAnsi="Calibri" w:eastAsia="仿宋_GB2312"/>
          <w:sz w:val="32"/>
          <w:szCs w:val="32"/>
        </w:rPr>
        <w:t>功能</w:t>
      </w:r>
      <w:r>
        <w:rPr>
          <w:rFonts w:ascii="仿宋_GB2312" w:hAnsi="Calibri" w:eastAsia="仿宋_GB2312"/>
          <w:sz w:val="32"/>
          <w:szCs w:val="32"/>
        </w:rPr>
        <w:t>定位、奋斗目标、主要任务以及保障措施，是</w:t>
      </w:r>
      <w:r>
        <w:rPr>
          <w:rFonts w:hint="eastAsia" w:ascii="仿宋_GB2312" w:hAnsi="Calibri" w:eastAsia="仿宋_GB2312"/>
          <w:sz w:val="32"/>
          <w:szCs w:val="32"/>
        </w:rPr>
        <w:t>我区</w:t>
      </w:r>
      <w:r>
        <w:rPr>
          <w:rFonts w:ascii="仿宋_GB2312" w:hAnsi="Calibri" w:eastAsia="仿宋_GB2312"/>
          <w:sz w:val="32"/>
          <w:szCs w:val="32"/>
        </w:rPr>
        <w:t>加快构建开放型经济新体制，提升对外开放水平，全力推动商务新发展的重要指引。</w:t>
      </w:r>
    </w:p>
    <w:p>
      <w:pPr>
        <w:spacing w:line="580" w:lineRule="exact"/>
        <w:ind w:firstLine="640" w:firstLineChars="200"/>
        <w:outlineLvl w:val="0"/>
        <w:rPr>
          <w:rFonts w:ascii="黑体" w:hAnsi="黑体" w:eastAsia="黑体"/>
          <w:sz w:val="32"/>
          <w:szCs w:val="36"/>
        </w:rPr>
      </w:pPr>
      <w:bookmarkStart w:id="2" w:name="_Toc65691814"/>
      <w:r>
        <w:rPr>
          <w:rFonts w:hint="eastAsia" w:ascii="黑体" w:hAnsi="黑体" w:eastAsia="黑体"/>
          <w:sz w:val="32"/>
          <w:szCs w:val="36"/>
        </w:rPr>
        <w:t>一、发展背景</w:t>
      </w:r>
      <w:bookmarkEnd w:id="2"/>
    </w:p>
    <w:p>
      <w:pPr>
        <w:spacing w:line="580" w:lineRule="exact"/>
        <w:ind w:firstLine="643" w:firstLineChars="200"/>
        <w:outlineLvl w:val="1"/>
        <w:rPr>
          <w:rFonts w:ascii="楷体_GB2312" w:hAnsi="黑体" w:eastAsia="楷体_GB2312"/>
          <w:b/>
          <w:sz w:val="32"/>
          <w:szCs w:val="36"/>
        </w:rPr>
      </w:pPr>
      <w:bookmarkStart w:id="3" w:name="_Toc65691815"/>
      <w:r>
        <w:rPr>
          <w:rFonts w:hint="eastAsia" w:ascii="楷体_GB2312" w:hAnsi="黑体" w:eastAsia="楷体_GB2312"/>
          <w:b/>
          <w:sz w:val="32"/>
          <w:szCs w:val="36"/>
        </w:rPr>
        <w:t>（一）现实基础</w:t>
      </w:r>
      <w:bookmarkEnd w:id="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三五”期间，面对国内外复杂局面，全区克难奋进，坚持加快转型、内外对接、多外联动、优化服务的原则，努力加强外贸内贸联动发展，推动引资引智协同发展，探索外经合作创新发展，促进服务外包加快发展，加快开发区域融合发展，全区开放型经济总体呈现稳步上升、健康发展态势，为“十四五”期间开放型经济发展奠定了坚实基础。</w:t>
      </w:r>
    </w:p>
    <w:p>
      <w:pPr>
        <w:spacing w:line="580" w:lineRule="exact"/>
        <w:ind w:firstLine="640" w:firstLineChars="200"/>
        <w:rPr>
          <w:rFonts w:ascii="仿宋_GB2312" w:hAnsi="Calibri" w:eastAsia="仿宋_GB2312"/>
          <w:sz w:val="32"/>
          <w:szCs w:val="32"/>
        </w:rPr>
      </w:pPr>
    </w:p>
    <w:p>
      <w:pPr>
        <w:pStyle w:val="45"/>
        <w:numPr>
          <w:ilvl w:val="0"/>
          <w:numId w:val="1"/>
        </w:numPr>
        <w:spacing w:line="580" w:lineRule="exact"/>
        <w:ind w:firstLineChars="0"/>
        <w:outlineLvl w:val="1"/>
        <w:rPr>
          <w:rFonts w:ascii="仿宋_GB2312" w:hAnsi="Calibri" w:eastAsia="仿宋_GB2312"/>
          <w:b/>
          <w:sz w:val="32"/>
          <w:szCs w:val="32"/>
        </w:rPr>
      </w:pPr>
      <w:bookmarkStart w:id="4" w:name="_Toc65691816"/>
      <w:r>
        <w:rPr>
          <w:rFonts w:hint="eastAsia" w:ascii="仿宋_GB2312" w:hAnsi="Calibri" w:eastAsia="仿宋_GB2312"/>
          <w:b/>
          <w:sz w:val="32"/>
          <w:szCs w:val="32"/>
        </w:rPr>
        <w:t>开放型经济水平稳步提高</w:t>
      </w:r>
      <w:bookmarkEnd w:id="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“十三五”期间，奉化区抓住“一带一路”</w:t>
      </w:r>
      <w:r>
        <w:rPr>
          <w:rFonts w:hint="eastAsia" w:ascii="仿宋_GB2312" w:hAnsi="Calibri" w:eastAsia="仿宋_GB2312"/>
          <w:sz w:val="32"/>
          <w:szCs w:val="32"/>
          <w:lang w:eastAsia="zh-CN"/>
        </w:rPr>
        <w:t>倡议</w:t>
      </w:r>
      <w:r>
        <w:rPr>
          <w:rFonts w:hint="eastAsia" w:ascii="仿宋_GB2312" w:hAnsi="Calibri" w:eastAsia="仿宋_GB2312"/>
          <w:sz w:val="32"/>
          <w:szCs w:val="32"/>
        </w:rPr>
        <w:t>实施的机遇，主动迎合宁波市“225”外贸双万亿行动，学习借鉴上海自贸区发展经验，</w:t>
      </w:r>
      <w:r>
        <w:rPr>
          <w:rFonts w:ascii="仿宋_GB2312" w:hAnsi="Calibri" w:eastAsia="仿宋_GB2312"/>
          <w:sz w:val="32"/>
          <w:szCs w:val="32"/>
        </w:rPr>
        <w:t>克服内需不足、外需疲软等不利因素</w:t>
      </w:r>
      <w:r>
        <w:rPr>
          <w:rFonts w:hint="eastAsia" w:ascii="仿宋_GB2312" w:hAnsi="Calibri" w:eastAsia="仿宋_GB2312"/>
          <w:sz w:val="32"/>
          <w:szCs w:val="32"/>
        </w:rPr>
        <w:t>，突破奉化开放型经济发展瓶颈，制定了“开放型经济倍增转型计划”、“奉商回归”、“飞地招商”等一系列措施，指导企业参与“网上广交会”和“云上拓市场”等系列活动，取得显著成效。2020年全区货物进出口总额217.09亿元，是2015年的1.15倍，2016—2020年期间年均增长3.61%，其中，全区出口194.39亿元，是2015年的1.17倍，2016—2020年期间年均增长4.09%；全区进口22.71亿元，由于受中美贸易摩擦和全球疫情的双重影响，仅是2015年的1.08倍。</w:t>
      </w:r>
    </w:p>
    <w:p>
      <w:pPr>
        <w:spacing w:line="580" w:lineRule="exact"/>
        <w:ind w:firstLine="643" w:firstLineChars="200"/>
        <w:outlineLvl w:val="1"/>
        <w:rPr>
          <w:rFonts w:ascii="仿宋_GB2312" w:hAnsi="Calibri" w:eastAsia="仿宋_GB2312"/>
          <w:snapToGrid w:val="0"/>
          <w:sz w:val="32"/>
          <w:szCs w:val="32"/>
        </w:rPr>
      </w:pPr>
      <w:bookmarkStart w:id="5" w:name="_Toc65691817"/>
      <w:r>
        <w:rPr>
          <w:rStyle w:val="38"/>
          <w:rFonts w:hint="eastAsia"/>
        </w:rPr>
        <w:t>2.</w:t>
      </w:r>
      <w:r>
        <w:rPr>
          <w:rStyle w:val="38"/>
        </w:rPr>
        <w:t xml:space="preserve"> 开放型</w:t>
      </w:r>
      <w:r>
        <w:rPr>
          <w:rStyle w:val="38"/>
          <w:rFonts w:hint="eastAsia"/>
        </w:rPr>
        <w:t>贸易</w:t>
      </w:r>
      <w:r>
        <w:rPr>
          <w:rStyle w:val="38"/>
        </w:rPr>
        <w:t>结构不断优化</w:t>
      </w:r>
      <w:bookmarkEnd w:id="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2020年，外贸出口按贸易方式分，</w:t>
      </w:r>
      <w:r>
        <w:rPr>
          <w:rFonts w:ascii="仿宋_GB2312" w:hAnsi="Calibri" w:eastAsia="仿宋_GB2312"/>
          <w:sz w:val="32"/>
          <w:szCs w:val="32"/>
        </w:rPr>
        <w:t>全</w:t>
      </w:r>
      <w:r>
        <w:rPr>
          <w:rFonts w:hint="eastAsia" w:ascii="仿宋_GB2312" w:hAnsi="Calibri" w:eastAsia="仿宋_GB2312"/>
          <w:sz w:val="32"/>
          <w:szCs w:val="32"/>
        </w:rPr>
        <w:t>区</w:t>
      </w:r>
      <w:r>
        <w:rPr>
          <w:rFonts w:ascii="仿宋_GB2312" w:hAnsi="Calibri" w:eastAsia="仿宋_GB2312"/>
          <w:sz w:val="32"/>
          <w:szCs w:val="32"/>
        </w:rPr>
        <w:t>一般贸易出口占比达到</w:t>
      </w:r>
      <w:r>
        <w:rPr>
          <w:rFonts w:hint="eastAsia" w:ascii="仿宋_GB2312" w:hAnsi="Calibri" w:eastAsia="仿宋_GB2312"/>
          <w:sz w:val="32"/>
          <w:szCs w:val="32"/>
        </w:rPr>
        <w:t>90.53</w:t>
      </w:r>
      <w:r>
        <w:rPr>
          <w:rFonts w:ascii="仿宋_GB2312" w:hAnsi="Calibri" w:eastAsia="仿宋_GB2312"/>
          <w:sz w:val="32"/>
          <w:szCs w:val="32"/>
        </w:rPr>
        <w:t>%，比201</w:t>
      </w:r>
      <w:r>
        <w:rPr>
          <w:rFonts w:hint="eastAsia" w:ascii="仿宋_GB2312" w:hAnsi="Calibri" w:eastAsia="仿宋_GB2312"/>
          <w:sz w:val="32"/>
          <w:szCs w:val="32"/>
        </w:rPr>
        <w:t>5</w:t>
      </w:r>
      <w:r>
        <w:rPr>
          <w:rFonts w:ascii="仿宋_GB2312" w:hAnsi="Calibri" w:eastAsia="仿宋_GB2312"/>
          <w:sz w:val="32"/>
          <w:szCs w:val="32"/>
        </w:rPr>
        <w:t>年提高了</w:t>
      </w:r>
      <w:r>
        <w:rPr>
          <w:rFonts w:hint="eastAsia" w:ascii="仿宋_GB2312" w:hAnsi="Calibri" w:eastAsia="仿宋_GB2312"/>
          <w:sz w:val="32"/>
          <w:szCs w:val="32"/>
        </w:rPr>
        <w:t>27.5</w:t>
      </w:r>
      <w:r>
        <w:rPr>
          <w:rFonts w:ascii="仿宋_GB2312" w:hAnsi="Calibri" w:eastAsia="仿宋_GB2312"/>
          <w:sz w:val="32"/>
          <w:szCs w:val="32"/>
        </w:rPr>
        <w:t>个百分点</w:t>
      </w:r>
      <w:r>
        <w:rPr>
          <w:rFonts w:hint="eastAsia" w:ascii="仿宋_GB2312" w:hAnsi="Calibri" w:eastAsia="仿宋_GB2312"/>
          <w:sz w:val="32"/>
          <w:szCs w:val="32"/>
        </w:rPr>
        <w:t>。外贸出口按产品类别分，2020年服装和</w:t>
      </w:r>
      <w:r>
        <w:rPr>
          <w:rFonts w:ascii="仿宋_GB2312" w:hAnsi="Calibri" w:eastAsia="仿宋_GB2312"/>
          <w:sz w:val="32"/>
          <w:szCs w:val="32"/>
        </w:rPr>
        <w:t>机电产品出口占比达到</w:t>
      </w:r>
      <w:r>
        <w:rPr>
          <w:rFonts w:hint="eastAsia" w:ascii="仿宋_GB2312" w:hAnsi="Calibri" w:eastAsia="仿宋_GB2312"/>
          <w:sz w:val="32"/>
          <w:szCs w:val="32"/>
        </w:rPr>
        <w:t>11.74</w:t>
      </w:r>
      <w:r>
        <w:rPr>
          <w:rFonts w:ascii="仿宋_GB2312" w:hAnsi="Calibri" w:eastAsia="仿宋_GB2312"/>
          <w:sz w:val="32"/>
          <w:szCs w:val="32"/>
        </w:rPr>
        <w:t>%和</w:t>
      </w:r>
      <w:r>
        <w:rPr>
          <w:rFonts w:hint="eastAsia" w:ascii="仿宋_GB2312" w:hAnsi="Calibri" w:eastAsia="仿宋_GB2312"/>
          <w:sz w:val="32"/>
          <w:szCs w:val="32"/>
        </w:rPr>
        <w:t>61.61</w:t>
      </w:r>
      <w:r>
        <w:rPr>
          <w:rFonts w:ascii="仿宋_GB2312" w:hAnsi="Calibri" w:eastAsia="仿宋_GB2312"/>
          <w:sz w:val="32"/>
          <w:szCs w:val="32"/>
        </w:rPr>
        <w:t>%，分别比201</w:t>
      </w:r>
      <w:r>
        <w:rPr>
          <w:rFonts w:hint="eastAsia" w:ascii="仿宋_GB2312" w:hAnsi="Calibri" w:eastAsia="仿宋_GB2312"/>
          <w:sz w:val="32"/>
          <w:szCs w:val="32"/>
        </w:rPr>
        <w:t>5</w:t>
      </w:r>
      <w:r>
        <w:rPr>
          <w:rFonts w:ascii="仿宋_GB2312" w:hAnsi="Calibri" w:eastAsia="仿宋_GB2312"/>
          <w:sz w:val="32"/>
          <w:szCs w:val="32"/>
        </w:rPr>
        <w:t>年</w:t>
      </w:r>
      <w:r>
        <w:rPr>
          <w:rFonts w:hint="eastAsia" w:ascii="仿宋_GB2312" w:hAnsi="Calibri" w:eastAsia="仿宋_GB2312"/>
          <w:sz w:val="32"/>
          <w:szCs w:val="32"/>
        </w:rPr>
        <w:t>下降</w:t>
      </w:r>
      <w:r>
        <w:rPr>
          <w:rFonts w:ascii="仿宋_GB2312" w:hAnsi="Calibri" w:eastAsia="仿宋_GB2312"/>
          <w:sz w:val="32"/>
          <w:szCs w:val="32"/>
        </w:rPr>
        <w:t>了</w:t>
      </w:r>
      <w:r>
        <w:rPr>
          <w:rFonts w:hint="eastAsia" w:ascii="仿宋_GB2312" w:hAnsi="Calibri" w:eastAsia="仿宋_GB2312"/>
          <w:sz w:val="32"/>
          <w:szCs w:val="32"/>
        </w:rPr>
        <w:t>3</w:t>
      </w:r>
      <w:r>
        <w:rPr>
          <w:rFonts w:hint="eastAsia" w:ascii="仿宋_GB2312" w:hAnsi="Calibri" w:eastAsia="仿宋_GB2312"/>
          <w:color w:val="000000" w:themeColor="text1"/>
          <w:sz w:val="32"/>
          <w:szCs w:val="32"/>
          <w14:textFill>
            <w14:solidFill>
              <w14:schemeClr w14:val="tx1"/>
            </w14:solidFill>
          </w14:textFill>
        </w:rPr>
        <w:t>.82</w:t>
      </w:r>
      <w:r>
        <w:rPr>
          <w:rFonts w:ascii="仿宋_GB2312" w:hAnsi="Calibri" w:eastAsia="仿宋_GB2312"/>
          <w:color w:val="000000" w:themeColor="text1"/>
          <w:sz w:val="32"/>
          <w:szCs w:val="32"/>
          <w14:textFill>
            <w14:solidFill>
              <w14:schemeClr w14:val="tx1"/>
            </w14:solidFill>
          </w14:textFill>
        </w:rPr>
        <w:t>个百分点</w:t>
      </w:r>
      <w:r>
        <w:rPr>
          <w:rFonts w:hint="eastAsia" w:ascii="仿宋_GB2312" w:hAnsi="Calibri" w:eastAsia="仿宋_GB2312"/>
          <w:color w:val="000000" w:themeColor="text1"/>
          <w:sz w:val="32"/>
          <w:szCs w:val="32"/>
          <w14:textFill>
            <w14:solidFill>
              <w14:schemeClr w14:val="tx1"/>
            </w14:solidFill>
          </w14:textFill>
        </w:rPr>
        <w:t>和6.95个百分点。2020年服务外包企业达到35家，完成服务外包合同额1.05亿美元，离岸服务外包执行额0.79亿美元，</w:t>
      </w:r>
      <w:r>
        <w:rPr>
          <w:rFonts w:ascii="仿宋_GB2312" w:hAnsi="Calibri" w:eastAsia="仿宋_GB2312"/>
          <w:sz w:val="32"/>
          <w:szCs w:val="32"/>
        </w:rPr>
        <w:t>分别比201</w:t>
      </w:r>
      <w:r>
        <w:rPr>
          <w:rFonts w:hint="eastAsia" w:ascii="仿宋_GB2312" w:hAnsi="Calibri" w:eastAsia="仿宋_GB2312"/>
          <w:sz w:val="32"/>
          <w:szCs w:val="32"/>
        </w:rPr>
        <w:t>5</w:t>
      </w:r>
      <w:r>
        <w:rPr>
          <w:rFonts w:ascii="仿宋_GB2312" w:hAnsi="Calibri" w:eastAsia="仿宋_GB2312"/>
          <w:sz w:val="32"/>
          <w:szCs w:val="32"/>
        </w:rPr>
        <w:t>年</w:t>
      </w:r>
      <w:r>
        <w:rPr>
          <w:rFonts w:hint="eastAsia" w:ascii="仿宋_GB2312" w:hAnsi="Calibri" w:eastAsia="仿宋_GB2312"/>
          <w:sz w:val="32"/>
          <w:szCs w:val="32"/>
        </w:rPr>
        <w:t>增加</w:t>
      </w:r>
      <w:r>
        <w:rPr>
          <w:rFonts w:ascii="仿宋_GB2312" w:hAnsi="Calibri" w:eastAsia="仿宋_GB2312"/>
          <w:sz w:val="32"/>
          <w:szCs w:val="32"/>
        </w:rPr>
        <w:t>了</w:t>
      </w:r>
      <w:r>
        <w:rPr>
          <w:rFonts w:hint="eastAsia" w:ascii="仿宋_GB2312" w:hAnsi="Calibri" w:eastAsia="仿宋_GB2312"/>
          <w:sz w:val="32"/>
          <w:szCs w:val="32"/>
        </w:rPr>
        <w:t>118.75%、177.74%和424.31%。奉化区企业出口主要集中在移动通讯终端及配件、服装、汽车配件、食品加工、园林工具、电器及照明、气动元件等二、三产业板块，相比2015年进出口产品种类日益增多、进出口企业数量有所增加、第二产业进出口占比明显上升，逐步</w:t>
      </w:r>
      <w:r>
        <w:rPr>
          <w:rFonts w:ascii="仿宋_GB2312" w:hAnsi="Calibri" w:eastAsia="仿宋_GB2312"/>
          <w:sz w:val="32"/>
          <w:szCs w:val="32"/>
        </w:rPr>
        <w:t>形成以</w:t>
      </w:r>
      <w:r>
        <w:rPr>
          <w:rFonts w:hint="eastAsia" w:ascii="仿宋_GB2312" w:hAnsi="Calibri" w:eastAsia="仿宋_GB2312"/>
          <w:sz w:val="32"/>
          <w:szCs w:val="32"/>
        </w:rPr>
        <w:t>高端气动元件、先进机电设备、</w:t>
      </w:r>
      <w:r>
        <w:rPr>
          <w:rFonts w:ascii="仿宋_GB2312" w:hAnsi="Calibri" w:eastAsia="仿宋_GB2312"/>
          <w:sz w:val="32"/>
          <w:szCs w:val="32"/>
        </w:rPr>
        <w:t>特色生物</w:t>
      </w:r>
      <w:r>
        <w:rPr>
          <w:rFonts w:hint="eastAsia" w:ascii="仿宋_GB2312" w:hAnsi="Calibri" w:eastAsia="仿宋_GB2312"/>
          <w:sz w:val="32"/>
          <w:szCs w:val="32"/>
        </w:rPr>
        <w:t>产品等高新技术</w:t>
      </w:r>
      <w:r>
        <w:rPr>
          <w:rFonts w:ascii="仿宋_GB2312" w:hAnsi="Calibri" w:eastAsia="仿宋_GB2312"/>
          <w:sz w:val="32"/>
          <w:szCs w:val="32"/>
        </w:rPr>
        <w:t>为主的出口导向型产业。</w:t>
      </w:r>
      <w:r>
        <w:rPr>
          <w:rFonts w:hint="eastAsia" w:ascii="仿宋_GB2312" w:hAnsi="Calibri" w:eastAsia="仿宋_GB2312"/>
          <w:sz w:val="32"/>
          <w:szCs w:val="32"/>
        </w:rPr>
        <w:t xml:space="preserve"> </w:t>
      </w:r>
    </w:p>
    <w:p>
      <w:pPr>
        <w:spacing w:line="580" w:lineRule="exact"/>
        <w:ind w:firstLine="643" w:firstLineChars="200"/>
        <w:outlineLvl w:val="1"/>
        <w:rPr>
          <w:rStyle w:val="38"/>
        </w:rPr>
      </w:pPr>
      <w:bookmarkStart w:id="6" w:name="_Toc65691818"/>
      <w:r>
        <w:rPr>
          <w:rStyle w:val="38"/>
          <w:rFonts w:hint="eastAsia"/>
        </w:rPr>
        <w:t>3.</w:t>
      </w:r>
      <w:r>
        <w:rPr>
          <w:rStyle w:val="38"/>
        </w:rPr>
        <w:t xml:space="preserve"> </w:t>
      </w:r>
      <w:r>
        <w:rPr>
          <w:rStyle w:val="38"/>
          <w:rFonts w:hint="eastAsia"/>
        </w:rPr>
        <w:t>招商引资规模不断扩大</w:t>
      </w:r>
      <w:bookmarkEnd w:id="6"/>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坚持把招商引资作为“一号工程”，深度对接“225”外贸双万亿行动，</w:t>
      </w:r>
      <w:r>
        <w:rPr>
          <w:rFonts w:ascii="仿宋_GB2312" w:hAnsi="Calibri" w:eastAsia="仿宋_GB2312"/>
          <w:sz w:val="32"/>
          <w:szCs w:val="32"/>
        </w:rPr>
        <w:t>20</w:t>
      </w:r>
      <w:r>
        <w:rPr>
          <w:rFonts w:hint="eastAsia" w:ascii="仿宋_GB2312" w:hAnsi="Calibri" w:eastAsia="仿宋_GB2312"/>
          <w:sz w:val="32"/>
          <w:szCs w:val="32"/>
        </w:rPr>
        <w:t>20</w:t>
      </w:r>
      <w:r>
        <w:rPr>
          <w:rFonts w:ascii="仿宋_GB2312" w:hAnsi="Calibri" w:eastAsia="仿宋_GB2312"/>
          <w:sz w:val="32"/>
          <w:szCs w:val="32"/>
        </w:rPr>
        <w:t>年全区新引进亿元以上项目</w:t>
      </w:r>
      <w:r>
        <w:rPr>
          <w:rFonts w:hint="eastAsia" w:ascii="仿宋_GB2312" w:hAnsi="Calibri" w:eastAsia="仿宋_GB2312"/>
          <w:sz w:val="32"/>
          <w:szCs w:val="32"/>
        </w:rPr>
        <w:t>31</w:t>
      </w:r>
      <w:r>
        <w:rPr>
          <w:rFonts w:ascii="仿宋_GB2312" w:hAnsi="Calibri" w:eastAsia="仿宋_GB2312"/>
          <w:sz w:val="32"/>
          <w:szCs w:val="32"/>
        </w:rPr>
        <w:t>个，10亿元以上项目</w:t>
      </w:r>
      <w:r>
        <w:rPr>
          <w:rFonts w:hint="eastAsia" w:ascii="仿宋_GB2312" w:hAnsi="Calibri" w:eastAsia="仿宋_GB2312"/>
          <w:sz w:val="32"/>
          <w:szCs w:val="32"/>
        </w:rPr>
        <w:t>6</w:t>
      </w:r>
      <w:r>
        <w:rPr>
          <w:rFonts w:ascii="仿宋_GB2312" w:hAnsi="Calibri" w:eastAsia="仿宋_GB2312"/>
          <w:sz w:val="32"/>
          <w:szCs w:val="32"/>
        </w:rPr>
        <w:t>个</w:t>
      </w:r>
      <w:r>
        <w:rPr>
          <w:rFonts w:hint="eastAsia" w:ascii="仿宋_GB2312" w:hAnsi="Calibri" w:eastAsia="仿宋_GB2312"/>
          <w:sz w:val="32"/>
          <w:szCs w:val="32"/>
        </w:rPr>
        <w:t>。从2016年奉化实现浙商回归工作零奖牌的突破之后，全区浙商回归到位资金持续高位增长，2020年</w:t>
      </w:r>
      <w:r>
        <w:rPr>
          <w:rFonts w:ascii="仿宋_GB2312" w:hAnsi="Calibri" w:eastAsia="仿宋_GB2312"/>
          <w:sz w:val="32"/>
          <w:szCs w:val="32"/>
        </w:rPr>
        <w:t>实到</w:t>
      </w:r>
      <w:r>
        <w:rPr>
          <w:rFonts w:hint="eastAsia" w:ascii="仿宋_GB2312" w:hAnsi="Calibri" w:eastAsia="仿宋_GB2312"/>
          <w:sz w:val="32"/>
          <w:szCs w:val="32"/>
        </w:rPr>
        <w:t>浙商回归资金90.5</w:t>
      </w:r>
      <w:r>
        <w:rPr>
          <w:rFonts w:ascii="仿宋_GB2312" w:hAnsi="Calibri" w:eastAsia="仿宋_GB2312"/>
          <w:sz w:val="32"/>
          <w:szCs w:val="32"/>
        </w:rPr>
        <w:t>亿元</w:t>
      </w:r>
      <w:r>
        <w:rPr>
          <w:rFonts w:hint="eastAsia" w:ascii="仿宋_GB2312" w:hAnsi="Calibri" w:eastAsia="仿宋_GB2312"/>
          <w:sz w:val="32"/>
          <w:szCs w:val="32"/>
        </w:rPr>
        <w:t>，完成宁波市考核任务（80亿元）的113%，“十三五”期间浙商回归累积到位资金381亿元；全区市外内资实际到位资金113</w:t>
      </w:r>
      <w:r>
        <w:rPr>
          <w:rFonts w:ascii="仿宋_GB2312" w:hAnsi="Calibri" w:eastAsia="仿宋_GB2312"/>
          <w:sz w:val="32"/>
          <w:szCs w:val="32"/>
        </w:rPr>
        <w:t>亿元</w:t>
      </w:r>
      <w:r>
        <w:rPr>
          <w:rFonts w:hint="eastAsia" w:ascii="仿宋_GB2312" w:hAnsi="Calibri" w:eastAsia="仿宋_GB2312"/>
          <w:sz w:val="32"/>
          <w:szCs w:val="32"/>
        </w:rPr>
        <w:t>。另外在实际利用外资板块，2020年实到</w:t>
      </w:r>
      <w:r>
        <w:rPr>
          <w:rFonts w:ascii="仿宋_GB2312" w:hAnsi="Calibri" w:eastAsia="仿宋_GB2312"/>
          <w:sz w:val="32"/>
          <w:szCs w:val="32"/>
        </w:rPr>
        <w:t>1.1</w:t>
      </w:r>
      <w:r>
        <w:rPr>
          <w:rFonts w:hint="eastAsia" w:ascii="仿宋_GB2312" w:hAnsi="Calibri" w:eastAsia="仿宋_GB2312"/>
          <w:sz w:val="32"/>
          <w:szCs w:val="32"/>
        </w:rPr>
        <w:t>5</w:t>
      </w:r>
      <w:r>
        <w:rPr>
          <w:rFonts w:ascii="仿宋_GB2312" w:hAnsi="Calibri" w:eastAsia="仿宋_GB2312"/>
          <w:sz w:val="32"/>
          <w:szCs w:val="32"/>
        </w:rPr>
        <w:t>亿美元</w:t>
      </w:r>
      <w:r>
        <w:rPr>
          <w:rFonts w:hint="eastAsia" w:ascii="仿宋_GB2312" w:hAnsi="Calibri" w:eastAsia="仿宋_GB2312"/>
          <w:sz w:val="32"/>
          <w:szCs w:val="32"/>
        </w:rPr>
        <w:t>，比</w:t>
      </w:r>
      <w:r>
        <w:rPr>
          <w:rFonts w:ascii="仿宋_GB2312" w:hAnsi="Calibri" w:eastAsia="仿宋_GB2312"/>
          <w:sz w:val="32"/>
          <w:szCs w:val="32"/>
        </w:rPr>
        <w:t>2015年</w:t>
      </w:r>
      <w:r>
        <w:rPr>
          <w:rFonts w:hint="eastAsia" w:ascii="仿宋_GB2312" w:hAnsi="Calibri" w:eastAsia="仿宋_GB2312"/>
          <w:sz w:val="32"/>
          <w:szCs w:val="32"/>
        </w:rPr>
        <w:t>增加40.24</w:t>
      </w:r>
      <w:r>
        <w:rPr>
          <w:rFonts w:ascii="仿宋_GB2312" w:hAnsi="Calibri" w:eastAsia="仿宋_GB2312"/>
          <w:sz w:val="32"/>
          <w:szCs w:val="32"/>
        </w:rPr>
        <w:t>%，</w:t>
      </w:r>
      <w:r>
        <w:rPr>
          <w:rFonts w:hint="eastAsia" w:ascii="仿宋_GB2312" w:hAnsi="Calibri" w:eastAsia="仿宋_GB2312"/>
          <w:sz w:val="32"/>
          <w:szCs w:val="32"/>
        </w:rPr>
        <w:t>“十三五”期间</w:t>
      </w:r>
      <w:r>
        <w:rPr>
          <w:rFonts w:ascii="仿宋_GB2312" w:hAnsi="Calibri" w:eastAsia="仿宋_GB2312"/>
          <w:sz w:val="32"/>
          <w:szCs w:val="32"/>
        </w:rPr>
        <w:t>累计实际利用外资</w:t>
      </w:r>
      <w:r>
        <w:rPr>
          <w:rFonts w:hint="eastAsia" w:ascii="仿宋_GB2312" w:hAnsi="Calibri" w:eastAsia="仿宋_GB2312"/>
          <w:sz w:val="32"/>
          <w:szCs w:val="32"/>
        </w:rPr>
        <w:t>6.55</w:t>
      </w:r>
      <w:r>
        <w:rPr>
          <w:rFonts w:ascii="仿宋_GB2312" w:hAnsi="Calibri" w:eastAsia="仿宋_GB2312"/>
          <w:sz w:val="32"/>
          <w:szCs w:val="32"/>
        </w:rPr>
        <w:t>亿美元，网易宁波中心、</w:t>
      </w:r>
      <w:r>
        <w:rPr>
          <w:rFonts w:hint="eastAsia" w:ascii="仿宋_GB2312" w:hAnsi="Calibri" w:eastAsia="仿宋_GB2312"/>
          <w:sz w:val="32"/>
          <w:szCs w:val="32"/>
        </w:rPr>
        <w:t>浙栋资产、小米数科、云弧集团总部、腾讯云启、华夏基石等优质项目相继签约落地。</w:t>
      </w:r>
    </w:p>
    <w:p>
      <w:pPr>
        <w:spacing w:line="580" w:lineRule="exact"/>
        <w:ind w:firstLine="643" w:firstLineChars="200"/>
        <w:outlineLvl w:val="1"/>
        <w:rPr>
          <w:rStyle w:val="38"/>
        </w:rPr>
      </w:pPr>
      <w:bookmarkStart w:id="7" w:name="_Toc65691819"/>
      <w:r>
        <w:rPr>
          <w:rStyle w:val="38"/>
          <w:rFonts w:hint="eastAsia"/>
        </w:rPr>
        <w:t>4.</w:t>
      </w:r>
      <w:r>
        <w:rPr>
          <w:rStyle w:val="38"/>
        </w:rPr>
        <w:t xml:space="preserve"> </w:t>
      </w:r>
      <w:bookmarkEnd w:id="7"/>
      <w:r>
        <w:rPr>
          <w:rStyle w:val="38"/>
          <w:rFonts w:hint="eastAsia"/>
        </w:rPr>
        <w:t>经贸</w:t>
      </w:r>
      <w:r>
        <w:rPr>
          <w:rStyle w:val="38"/>
        </w:rPr>
        <w:t>交流合作日益密切</w:t>
      </w:r>
    </w:p>
    <w:p>
      <w:pPr>
        <w:spacing w:line="580" w:lineRule="exact"/>
        <w:ind w:firstLine="640" w:firstLineChars="200"/>
        <w:rPr>
          <w:rFonts w:ascii="仿宋_GB2312" w:hAnsi="Calibri" w:eastAsia="仿宋_GB2312"/>
          <w:i/>
          <w:sz w:val="32"/>
          <w:szCs w:val="32"/>
        </w:rPr>
      </w:pPr>
      <w:r>
        <w:rPr>
          <w:rFonts w:hint="eastAsia" w:ascii="仿宋_GB2312" w:hAnsi="Calibri" w:eastAsia="仿宋_GB2312"/>
          <w:sz w:val="32"/>
          <w:szCs w:val="32"/>
        </w:rPr>
        <w:t>“十三五”期间，面对中美贸易摩擦等严峻国际形势，积极开拓国内外合作市场，接轨长三角一体化发展七大领域重点工作全面展开，宁波上海产业转移双创示范基地正式落户，并投入运营；与杭州上城区、滨江区签订合作框架协议；甬绍一体化合作先行区建设方案启动实施；发挥对台窗口优势，积极建设两岸文化交流基地，搭建溪口两岸文化论坛平台；鼓励企业“以展换市”，组织企业参加广交会、消博会、华交会等各类进口博览会。对外交流合作方面，除积极开拓北美等原有市场外，我区主动对接一带一路倡议和中东欧国家发展战略，依托宁波市级中东欧合作基础，全面参与中国-中东欧国家博览会，统筹协调奉化区与中东欧开展贸易、投资、文旅、医疗等全面合作事宜，鼓励企业“走出去”到中东欧国家开展经贸合作，推动本地企业与中东欧国家在生物医药、高端装备等领域开展产能合作，加强市场拓展、上下游衔接等产业集聚带建设，宁波麦博韦尔移动电话有限公司、宁波绿之健药业有限公司（奉化）分列宁波市对中东欧国家出口、进口前20强企业。2020年实际中方投资额0.16亿美元，“十三五”年期间累计中方对外投资额1.1亿美元。</w:t>
      </w:r>
    </w:p>
    <w:p>
      <w:pPr>
        <w:spacing w:line="580" w:lineRule="exact"/>
        <w:ind w:firstLine="643" w:firstLineChars="200"/>
        <w:outlineLvl w:val="1"/>
        <w:rPr>
          <w:rFonts w:eastAsia="仿宋"/>
          <w:b/>
          <w:snapToGrid w:val="0"/>
          <w:kern w:val="0"/>
          <w:sz w:val="30"/>
          <w:szCs w:val="20"/>
        </w:rPr>
      </w:pPr>
      <w:bookmarkStart w:id="8" w:name="_Toc65691820"/>
      <w:r>
        <w:rPr>
          <w:rStyle w:val="38"/>
          <w:rFonts w:hint="eastAsia"/>
        </w:rPr>
        <w:t>5.</w:t>
      </w:r>
      <w:r>
        <w:rPr>
          <w:rStyle w:val="38"/>
        </w:rPr>
        <w:t xml:space="preserve"> </w:t>
      </w:r>
      <w:r>
        <w:rPr>
          <w:rStyle w:val="38"/>
          <w:rFonts w:hint="eastAsia"/>
        </w:rPr>
        <w:t>开放平台建设成果丰硕</w:t>
      </w:r>
      <w:bookmarkEnd w:id="8"/>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气动元件、竹木草制品、纺织服装基地等3个国家级外贸产业示范区（基地）建设取得显著成效，赢得了国家出口气动元件质量安全示范区称号，</w:t>
      </w:r>
      <w:r>
        <w:rPr>
          <w:rFonts w:ascii="仿宋_GB2312" w:hAnsi="Calibri" w:eastAsia="仿宋_GB2312"/>
          <w:sz w:val="32"/>
          <w:szCs w:val="32"/>
        </w:rPr>
        <w:t>实现</w:t>
      </w:r>
      <w:r>
        <w:rPr>
          <w:rFonts w:hint="eastAsia" w:ascii="仿宋_GB2312" w:hAnsi="Calibri" w:eastAsia="仿宋_GB2312"/>
          <w:sz w:val="32"/>
          <w:szCs w:val="32"/>
        </w:rPr>
        <w:t>了</w:t>
      </w:r>
      <w:r>
        <w:rPr>
          <w:rFonts w:ascii="仿宋_GB2312" w:hAnsi="Calibri" w:eastAsia="仿宋_GB2312"/>
          <w:sz w:val="32"/>
          <w:szCs w:val="32"/>
        </w:rPr>
        <w:t>创新资源的聚集、聚合、聚焦、聚变，促进区域产业升级、消费升级和战略性新兴产业的发展。</w:t>
      </w:r>
      <w:r>
        <w:rPr>
          <w:rFonts w:hint="eastAsia" w:ascii="仿宋_GB2312" w:hAnsi="Calibri" w:eastAsia="仿宋_GB2312"/>
          <w:sz w:val="32"/>
          <w:szCs w:val="32"/>
        </w:rPr>
        <w:t>全国首个共享经济小镇落户溪口，奉化首个跨境电商产业园开园运营，云溪村成功创建省电商示范村，滕头村、前横村，长汀村成功创建省电商专业村，海上鲜公司被商务部确认为全国首批线上线下融合发展数字商务企业，入选省市两级重点培育电商平台。深国际宁波综</w:t>
      </w:r>
      <w:r>
        <w:rPr>
          <w:rFonts w:ascii="仿宋_GB2312" w:hAnsi="Calibri" w:eastAsia="仿宋_GB2312"/>
          <w:sz w:val="32"/>
          <w:szCs w:val="32"/>
        </w:rPr>
        <w:t>合物流港</w:t>
      </w:r>
      <w:r>
        <w:rPr>
          <w:rFonts w:hint="eastAsia" w:ascii="仿宋_GB2312" w:hAnsi="Calibri" w:eastAsia="仿宋_GB2312"/>
          <w:sz w:val="32"/>
          <w:szCs w:val="32"/>
        </w:rPr>
        <w:t>为</w:t>
      </w:r>
      <w:r>
        <w:rPr>
          <w:rFonts w:ascii="仿宋_GB2312" w:hAnsi="Calibri" w:eastAsia="仿宋_GB2312"/>
          <w:sz w:val="32"/>
          <w:szCs w:val="32"/>
        </w:rPr>
        <w:t>宁波城区生活提供综合物流服务，</w:t>
      </w:r>
      <w:r>
        <w:rPr>
          <w:rFonts w:hint="eastAsia" w:ascii="仿宋_GB2312" w:hAnsi="Calibri" w:eastAsia="仿宋_GB2312"/>
          <w:sz w:val="32"/>
          <w:szCs w:val="32"/>
        </w:rPr>
        <w:t>致力于</w:t>
      </w:r>
      <w:r>
        <w:rPr>
          <w:rFonts w:ascii="仿宋_GB2312" w:hAnsi="Calibri" w:eastAsia="仿宋_GB2312"/>
          <w:sz w:val="32"/>
          <w:szCs w:val="32"/>
        </w:rPr>
        <w:t>成为长三角经济区乃至全国具有引领和示范效应的现代物流中心</w:t>
      </w:r>
      <w:r>
        <w:rPr>
          <w:rFonts w:hint="eastAsia" w:ascii="仿宋_GB2312" w:hAnsi="Calibri" w:eastAsia="仿宋_GB2312"/>
          <w:sz w:val="32"/>
          <w:szCs w:val="32"/>
        </w:rPr>
        <w:t>；红易仓储（宁波）</w:t>
      </w:r>
      <w:r>
        <w:rPr>
          <w:rFonts w:ascii="仿宋_GB2312" w:hAnsi="Calibri" w:eastAsia="仿宋_GB2312"/>
          <w:sz w:val="32"/>
          <w:szCs w:val="32"/>
        </w:rPr>
        <w:t>物流中心</w:t>
      </w:r>
      <w:r>
        <w:rPr>
          <w:rFonts w:hint="eastAsia" w:ascii="仿宋_GB2312" w:hAnsi="Calibri" w:eastAsia="仿宋_GB2312"/>
          <w:sz w:val="32"/>
          <w:szCs w:val="32"/>
        </w:rPr>
        <w:t>拟建设国</w:t>
      </w:r>
      <w:r>
        <w:rPr>
          <w:rFonts w:ascii="仿宋_GB2312" w:hAnsi="Calibri" w:eastAsia="仿宋_GB2312"/>
          <w:sz w:val="32"/>
          <w:szCs w:val="32"/>
        </w:rPr>
        <w:t>际电商物流及城市配送标准仓储设施</w:t>
      </w:r>
      <w:r>
        <w:rPr>
          <w:rFonts w:hint="eastAsia" w:ascii="仿宋_GB2312" w:hAnsi="Calibri" w:eastAsia="仿宋_GB2312"/>
          <w:sz w:val="32"/>
          <w:szCs w:val="32"/>
        </w:rPr>
        <w:t>；此外，</w:t>
      </w:r>
      <w:r>
        <w:rPr>
          <w:rFonts w:ascii="仿宋_GB2312" w:hAnsi="Calibri" w:eastAsia="仿宋_GB2312"/>
          <w:sz w:val="32"/>
          <w:szCs w:val="32"/>
        </w:rPr>
        <w:t>宁波宝湾国际物流中心</w:t>
      </w:r>
      <w:r>
        <w:rPr>
          <w:rFonts w:hint="eastAsia" w:ascii="仿宋_GB2312" w:hAnsi="Calibri" w:eastAsia="仿宋_GB2312"/>
          <w:sz w:val="32"/>
          <w:szCs w:val="32"/>
        </w:rPr>
        <w:t>（续建）等项目也在大力推进。</w:t>
      </w:r>
    </w:p>
    <w:p>
      <w:pPr>
        <w:spacing w:before="156" w:beforeLines="50" w:after="156" w:afterLines="50" w:line="360" w:lineRule="exact"/>
        <w:jc w:val="center"/>
        <w:rPr>
          <w:rFonts w:eastAsia="楷体_GB2312"/>
          <w:b/>
          <w:sz w:val="24"/>
        </w:rPr>
      </w:pPr>
      <w:r>
        <w:rPr>
          <w:rFonts w:hint="eastAsia" w:eastAsia="楷体_GB2312"/>
          <w:b/>
          <w:sz w:val="24"/>
        </w:rPr>
        <w:t>表1</w:t>
      </w:r>
      <w:r>
        <w:rPr>
          <w:rFonts w:eastAsia="楷体_GB2312"/>
          <w:b/>
          <w:sz w:val="24"/>
        </w:rPr>
        <w:t xml:space="preserve"> </w:t>
      </w:r>
      <w:r>
        <w:rPr>
          <w:rFonts w:hint="eastAsia" w:eastAsia="楷体_GB2312"/>
          <w:b/>
          <w:sz w:val="24"/>
        </w:rPr>
        <w:t xml:space="preserve"> 奉化区“十三五”开放型经济主要指标完成情况表</w:t>
      </w:r>
    </w:p>
    <w:tbl>
      <w:tblPr>
        <w:tblStyle w:val="27"/>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827"/>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trPr>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序号</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指标</w:t>
            </w:r>
            <w:r>
              <w:rPr>
                <w:rFonts w:hint="eastAsia" w:eastAsia="楷体_GB2312"/>
                <w:b/>
                <w:kern w:val="0"/>
                <w:szCs w:val="21"/>
                <w:lang w:bidi="ar"/>
              </w:rPr>
              <w:t>名称</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2015</w:t>
            </w:r>
            <w:r>
              <w:rPr>
                <w:rFonts w:hint="eastAsia" w:eastAsia="楷体_GB2312"/>
                <w:b/>
                <w:kern w:val="0"/>
                <w:szCs w:val="21"/>
                <w:lang w:bidi="ar"/>
              </w:rPr>
              <w:t>年</w:t>
            </w:r>
          </w:p>
          <w:p>
            <w:pPr>
              <w:widowControl/>
              <w:adjustRightInd w:val="0"/>
              <w:snapToGrid w:val="0"/>
              <w:jc w:val="center"/>
              <w:textAlignment w:val="center"/>
              <w:rPr>
                <w:rFonts w:eastAsia="楷体_GB2312"/>
                <w:b/>
                <w:kern w:val="0"/>
                <w:szCs w:val="21"/>
                <w:lang w:bidi="ar"/>
              </w:rPr>
            </w:pPr>
            <w:r>
              <w:rPr>
                <w:rFonts w:hint="eastAsia" w:eastAsia="楷体_GB2312"/>
                <w:b/>
                <w:kern w:val="0"/>
                <w:szCs w:val="21"/>
                <w:lang w:bidi="ar"/>
              </w:rPr>
              <w:t>基数</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2020</w:t>
            </w:r>
            <w:r>
              <w:rPr>
                <w:rFonts w:hint="eastAsia" w:eastAsia="楷体_GB2312"/>
                <w:b/>
                <w:kern w:val="0"/>
                <w:szCs w:val="21"/>
                <w:lang w:bidi="ar"/>
              </w:rPr>
              <w:t>年</w:t>
            </w:r>
          </w:p>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目标值</w:t>
            </w:r>
          </w:p>
        </w:tc>
        <w:tc>
          <w:tcPr>
            <w:tcW w:w="0" w:type="auto"/>
            <w:vAlign w:val="center"/>
          </w:tcPr>
          <w:p>
            <w:pPr>
              <w:widowControl/>
              <w:adjustRightInd w:val="0"/>
              <w:snapToGrid w:val="0"/>
              <w:jc w:val="center"/>
              <w:textAlignment w:val="center"/>
              <w:rPr>
                <w:rFonts w:eastAsia="楷体_GB2312"/>
                <w:b/>
                <w:kern w:val="0"/>
                <w:szCs w:val="21"/>
                <w:lang w:bidi="ar"/>
              </w:rPr>
            </w:pPr>
            <w:r>
              <w:rPr>
                <w:rFonts w:eastAsia="楷体_GB2312"/>
                <w:b/>
                <w:kern w:val="0"/>
                <w:szCs w:val="21"/>
                <w:lang w:bidi="ar"/>
              </w:rPr>
              <w:t>2020</w:t>
            </w:r>
            <w:r>
              <w:rPr>
                <w:rFonts w:hint="eastAsia" w:eastAsia="楷体_GB2312"/>
                <w:b/>
                <w:kern w:val="0"/>
                <w:szCs w:val="21"/>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Align w:val="center"/>
          </w:tcPr>
          <w:p>
            <w:pPr>
              <w:pStyle w:val="102"/>
              <w:widowControl/>
              <w:ind w:firstLine="0" w:firstLineChars="0"/>
              <w:jc w:val="center"/>
              <w:rPr>
                <w:kern w:val="0"/>
                <w:sz w:val="18"/>
                <w:szCs w:val="18"/>
              </w:rPr>
            </w:pPr>
            <w:r>
              <w:rPr>
                <w:rFonts w:hint="eastAsia"/>
                <w:kern w:val="0"/>
                <w:sz w:val="18"/>
                <w:szCs w:val="18"/>
              </w:rPr>
              <w:t>1</w:t>
            </w:r>
          </w:p>
        </w:tc>
        <w:tc>
          <w:tcPr>
            <w:tcW w:w="0" w:type="auto"/>
            <w:vAlign w:val="center"/>
          </w:tcPr>
          <w:p>
            <w:pPr>
              <w:widowControl/>
              <w:jc w:val="center"/>
              <w:textAlignment w:val="center"/>
              <w:rPr>
                <w:rStyle w:val="98"/>
                <w:rFonts w:hint="default" w:ascii="Times New Roman" w:hAnsi="Times New Roman" w:eastAsia="楷体_GB2312" w:cs="Times New Roman"/>
                <w:szCs w:val="21"/>
                <w:lang w:bidi="ar"/>
              </w:rPr>
            </w:pPr>
            <w:r>
              <w:rPr>
                <w:rStyle w:val="98"/>
                <w:rFonts w:hint="default" w:ascii="Times New Roman" w:hAnsi="Times New Roman" w:eastAsia="楷体_GB2312" w:cs="Times New Roman"/>
                <w:szCs w:val="21"/>
                <w:lang w:bidi="ar"/>
              </w:rPr>
              <w:t>货物进出口总额（亿元）</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188.09</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234.72</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217.09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0" w:type="auto"/>
            <w:vAlign w:val="center"/>
          </w:tcPr>
          <w:p>
            <w:pPr>
              <w:pStyle w:val="102"/>
              <w:widowControl/>
              <w:ind w:firstLine="0" w:firstLineChars="0"/>
              <w:jc w:val="center"/>
              <w:rPr>
                <w:kern w:val="0"/>
                <w:sz w:val="18"/>
                <w:szCs w:val="18"/>
              </w:rPr>
            </w:pPr>
            <w:r>
              <w:rPr>
                <w:rFonts w:hint="eastAsia"/>
                <w:kern w:val="0"/>
                <w:sz w:val="18"/>
                <w:szCs w:val="18"/>
              </w:rPr>
              <w:t>2</w:t>
            </w:r>
          </w:p>
        </w:tc>
        <w:tc>
          <w:tcPr>
            <w:tcW w:w="0" w:type="auto"/>
            <w:vAlign w:val="center"/>
          </w:tcPr>
          <w:p>
            <w:pPr>
              <w:widowControl/>
              <w:jc w:val="center"/>
              <w:textAlignment w:val="center"/>
              <w:rPr>
                <w:rStyle w:val="98"/>
                <w:rFonts w:hint="default" w:ascii="Times New Roman" w:hAnsi="Times New Roman" w:eastAsia="楷体_GB2312" w:cs="Times New Roman"/>
                <w:szCs w:val="21"/>
                <w:lang w:bidi="ar"/>
              </w:rPr>
            </w:pPr>
            <w:r>
              <w:rPr>
                <w:rStyle w:val="98"/>
                <w:rFonts w:hint="default" w:ascii="Times New Roman" w:hAnsi="Times New Roman" w:eastAsia="楷体_GB2312" w:cs="Times New Roman"/>
                <w:szCs w:val="21"/>
                <w:lang w:bidi="ar"/>
              </w:rPr>
              <w:t>货物出口总额（亿元）</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166.62</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210.60</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194.39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0" w:type="auto"/>
            <w:vAlign w:val="center"/>
          </w:tcPr>
          <w:p>
            <w:pPr>
              <w:pStyle w:val="102"/>
              <w:widowControl/>
              <w:ind w:firstLine="0" w:firstLineChars="0"/>
              <w:jc w:val="center"/>
              <w:rPr>
                <w:kern w:val="0"/>
                <w:sz w:val="18"/>
                <w:szCs w:val="18"/>
              </w:rPr>
            </w:pPr>
            <w:r>
              <w:rPr>
                <w:rFonts w:hint="eastAsia"/>
                <w:kern w:val="0"/>
                <w:sz w:val="18"/>
                <w:szCs w:val="18"/>
              </w:rPr>
              <w:t>3</w:t>
            </w:r>
          </w:p>
        </w:tc>
        <w:tc>
          <w:tcPr>
            <w:tcW w:w="0" w:type="auto"/>
            <w:vAlign w:val="center"/>
          </w:tcPr>
          <w:p>
            <w:pPr>
              <w:widowControl/>
              <w:jc w:val="center"/>
              <w:textAlignment w:val="center"/>
              <w:rPr>
                <w:rStyle w:val="98"/>
                <w:rFonts w:hint="default" w:ascii="Times New Roman" w:hAnsi="Times New Roman" w:eastAsia="楷体_GB2312" w:cs="Times New Roman"/>
                <w:szCs w:val="21"/>
                <w:lang w:bidi="ar"/>
              </w:rPr>
            </w:pPr>
            <w:r>
              <w:rPr>
                <w:rStyle w:val="98"/>
                <w:rFonts w:hint="default" w:ascii="Times New Roman" w:hAnsi="Times New Roman" w:eastAsia="楷体_GB2312" w:cs="Times New Roman"/>
                <w:szCs w:val="21"/>
                <w:lang w:bidi="ar"/>
              </w:rPr>
              <w:t>境外中方投资（亿美元）</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0.27</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0.54</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0" w:type="auto"/>
            <w:vAlign w:val="center"/>
          </w:tcPr>
          <w:p>
            <w:pPr>
              <w:pStyle w:val="102"/>
              <w:widowControl/>
              <w:ind w:firstLine="0" w:firstLineChars="0"/>
              <w:jc w:val="center"/>
              <w:rPr>
                <w:kern w:val="0"/>
                <w:sz w:val="18"/>
                <w:szCs w:val="18"/>
              </w:rPr>
            </w:pPr>
            <w:r>
              <w:rPr>
                <w:rFonts w:hint="eastAsia"/>
                <w:kern w:val="0"/>
                <w:sz w:val="18"/>
                <w:szCs w:val="18"/>
              </w:rPr>
              <w:t>4</w:t>
            </w:r>
          </w:p>
        </w:tc>
        <w:tc>
          <w:tcPr>
            <w:tcW w:w="0" w:type="auto"/>
            <w:vAlign w:val="center"/>
          </w:tcPr>
          <w:p>
            <w:pPr>
              <w:widowControl/>
              <w:jc w:val="center"/>
              <w:textAlignment w:val="center"/>
              <w:rPr>
                <w:rStyle w:val="98"/>
                <w:rFonts w:hint="default" w:ascii="Times New Roman" w:hAnsi="Times New Roman" w:eastAsia="楷体_GB2312" w:cs="Times New Roman"/>
                <w:szCs w:val="21"/>
                <w:lang w:bidi="ar"/>
              </w:rPr>
            </w:pPr>
            <w:r>
              <w:rPr>
                <w:rStyle w:val="98"/>
                <w:rFonts w:hint="default" w:ascii="Times New Roman" w:hAnsi="Times New Roman" w:eastAsia="楷体_GB2312" w:cs="Times New Roman"/>
                <w:szCs w:val="21"/>
                <w:lang w:bidi="ar"/>
              </w:rPr>
              <w:t>累计实际利用外资（亿美元）</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【3.78】</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【6.34】</w:t>
            </w:r>
          </w:p>
        </w:tc>
        <w:tc>
          <w:tcPr>
            <w:tcW w:w="0" w:type="auto"/>
            <w:vAlign w:val="center"/>
          </w:tcPr>
          <w:p>
            <w:pPr>
              <w:widowControl/>
              <w:adjustRightInd w:val="0"/>
              <w:snapToGrid w:val="0"/>
              <w:jc w:val="center"/>
              <w:textAlignment w:val="center"/>
              <w:rPr>
                <w:rStyle w:val="97"/>
                <w:rFonts w:hint="default" w:ascii="Times New Roman" w:hAnsi="Times New Roman" w:eastAsia="楷体_GB2312" w:cs="Times New Roman"/>
                <w:szCs w:val="21"/>
                <w:lang w:bidi="ar"/>
              </w:rPr>
            </w:pPr>
            <w:r>
              <w:rPr>
                <w:rStyle w:val="97"/>
                <w:rFonts w:hint="default" w:ascii="Times New Roman" w:hAnsi="Times New Roman" w:eastAsia="楷体_GB2312" w:cs="Times New Roman"/>
                <w:szCs w:val="21"/>
                <w:lang w:bidi="ar"/>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0" w:type="auto"/>
            <w:gridSpan w:val="5"/>
            <w:vAlign w:val="center"/>
          </w:tcPr>
          <w:p>
            <w:pPr>
              <w:widowControl/>
              <w:adjustRightInd w:val="0"/>
              <w:snapToGrid w:val="0"/>
              <w:jc w:val="left"/>
              <w:textAlignment w:val="center"/>
              <w:rPr>
                <w:rStyle w:val="97"/>
                <w:rFonts w:hint="default" w:ascii="Times New Roman" w:hAnsi="Times New Roman" w:eastAsia="楷体_GB2312" w:cs="Times New Roman"/>
                <w:szCs w:val="21"/>
                <w:lang w:bidi="ar"/>
              </w:rPr>
            </w:pPr>
            <w:r>
              <w:rPr>
                <w:rStyle w:val="98"/>
                <w:rFonts w:hint="default" w:ascii="Times New Roman" w:hAnsi="Times New Roman" w:eastAsia="楷体_GB2312" w:cs="Times New Roman"/>
                <w:szCs w:val="21"/>
                <w:lang w:bidi="ar"/>
              </w:rPr>
              <w:t>备注：【】内数据为五年累计数。</w:t>
            </w:r>
          </w:p>
        </w:tc>
      </w:tr>
    </w:tbl>
    <w:p>
      <w:pPr>
        <w:spacing w:before="156" w:beforeLines="50" w:after="156" w:afterLines="50" w:line="360" w:lineRule="exact"/>
        <w:jc w:val="center"/>
        <w:rPr>
          <w:rFonts w:eastAsia="楷体_GB2312"/>
          <w:b/>
          <w:sz w:val="24"/>
        </w:rPr>
      </w:pPr>
    </w:p>
    <w:p>
      <w:pPr>
        <w:spacing w:before="156" w:beforeLines="50" w:line="580" w:lineRule="exact"/>
        <w:ind w:firstLine="643" w:firstLineChars="200"/>
        <w:outlineLvl w:val="1"/>
      </w:pPr>
      <w:bookmarkStart w:id="9" w:name="_Toc2015"/>
      <w:bookmarkStart w:id="10" w:name="_Toc65691821"/>
      <w:r>
        <w:rPr>
          <w:rFonts w:ascii="楷体_GB2312" w:hAnsi="黑体" w:eastAsia="楷体_GB2312"/>
          <w:b/>
          <w:sz w:val="32"/>
          <w:szCs w:val="36"/>
        </w:rPr>
        <w:t>（</w:t>
      </w:r>
      <w:r>
        <w:rPr>
          <w:rFonts w:hint="eastAsia" w:ascii="楷体_GB2312" w:hAnsi="黑体" w:eastAsia="楷体_GB2312"/>
          <w:b/>
          <w:sz w:val="32"/>
          <w:szCs w:val="36"/>
        </w:rPr>
        <w:t>二</w:t>
      </w:r>
      <w:r>
        <w:rPr>
          <w:rFonts w:ascii="楷体_GB2312" w:hAnsi="黑体" w:eastAsia="楷体_GB2312"/>
          <w:b/>
          <w:sz w:val="32"/>
          <w:szCs w:val="36"/>
        </w:rPr>
        <w:t>）</w:t>
      </w:r>
      <w:bookmarkStart w:id="11" w:name="_Toc426917439"/>
      <w:r>
        <w:rPr>
          <w:rFonts w:hint="eastAsia" w:ascii="楷体_GB2312" w:hAnsi="黑体" w:eastAsia="楷体_GB2312"/>
          <w:b/>
          <w:sz w:val="32"/>
          <w:szCs w:val="36"/>
        </w:rPr>
        <w:t>存在</w:t>
      </w:r>
      <w:r>
        <w:rPr>
          <w:rFonts w:ascii="楷体_GB2312" w:hAnsi="黑体" w:eastAsia="楷体_GB2312"/>
          <w:b/>
          <w:sz w:val="32"/>
          <w:szCs w:val="36"/>
        </w:rPr>
        <w:t>问题</w:t>
      </w:r>
      <w:bookmarkEnd w:id="9"/>
      <w:bookmarkEnd w:id="10"/>
      <w:bookmarkEnd w:id="11"/>
    </w:p>
    <w:p>
      <w:pPr>
        <w:spacing w:line="580" w:lineRule="exact"/>
        <w:ind w:firstLine="643" w:firstLineChars="200"/>
        <w:outlineLvl w:val="1"/>
        <w:rPr>
          <w:rFonts w:ascii="仿宋_GB2312" w:hAnsi="Calibri" w:eastAsia="仿宋_GB2312"/>
          <w:b/>
          <w:sz w:val="32"/>
          <w:szCs w:val="32"/>
        </w:rPr>
      </w:pPr>
      <w:bookmarkStart w:id="12" w:name="_Toc65691822"/>
      <w:r>
        <w:rPr>
          <w:rFonts w:hint="eastAsia" w:ascii="仿宋_GB2312" w:hAnsi="Calibri" w:eastAsia="仿宋_GB2312"/>
          <w:b/>
          <w:sz w:val="32"/>
          <w:szCs w:val="32"/>
        </w:rPr>
        <w:t>1.对外贸易规模小，对外依存度低</w:t>
      </w:r>
      <w:bookmarkEnd w:id="1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2020年奉化外贸进出口总额不到宁波市外贸进出口总额的3%，对外贸易规模总体偏小，在“十三五”期间，该比例逐年降低，奉化区进出口总额年均增长率低于宁波市整体年均增速7.33%。由于受到中美贸易摩擦影响，出口在一定程度上受阻，</w:t>
      </w:r>
      <w:r>
        <w:rPr>
          <w:rFonts w:ascii="仿宋_GB2312" w:hAnsi="Calibri" w:eastAsia="仿宋_GB2312"/>
          <w:sz w:val="32"/>
          <w:szCs w:val="32"/>
        </w:rPr>
        <w:t>按出口额计算</w:t>
      </w:r>
      <w:r>
        <w:rPr>
          <w:rFonts w:hint="eastAsia" w:ascii="仿宋_GB2312" w:hAnsi="Calibri" w:eastAsia="仿宋_GB2312"/>
          <w:sz w:val="32"/>
          <w:szCs w:val="32"/>
        </w:rPr>
        <w:t>，“十三五”期间，奉化外贸依存度从38.58%下降到</w:t>
      </w:r>
      <w:r>
        <w:rPr>
          <w:rFonts w:ascii="仿宋_GB2312" w:hAnsi="Calibri" w:eastAsia="仿宋_GB2312"/>
          <w:sz w:val="32"/>
          <w:szCs w:val="32"/>
        </w:rPr>
        <w:t>31.66</w:t>
      </w:r>
      <w:r>
        <w:rPr>
          <w:rFonts w:hint="eastAsia" w:ascii="仿宋_GB2312" w:hAnsi="Calibri" w:eastAsia="仿宋_GB2312"/>
          <w:sz w:val="32"/>
          <w:szCs w:val="32"/>
        </w:rPr>
        <w:t>%，下降的幅度远大于宁波市整体下降幅度。</w:t>
      </w:r>
    </w:p>
    <w:p>
      <w:pPr>
        <w:spacing w:line="580" w:lineRule="exact"/>
        <w:ind w:firstLine="643" w:firstLineChars="200"/>
        <w:outlineLvl w:val="1"/>
        <w:rPr>
          <w:rFonts w:ascii="微软雅黑" w:hAnsi="微软雅黑" w:eastAsia="微软雅黑"/>
          <w:i/>
          <w:color w:val="333333"/>
          <w:shd w:val="clear" w:color="auto" w:fill="FFFFFF"/>
        </w:rPr>
      </w:pPr>
      <w:bookmarkStart w:id="13" w:name="_Toc65691823"/>
      <w:r>
        <w:rPr>
          <w:rFonts w:hint="eastAsia" w:ascii="仿宋_GB2312" w:hAnsi="Calibri" w:eastAsia="仿宋_GB2312"/>
          <w:b/>
          <w:sz w:val="32"/>
          <w:szCs w:val="32"/>
        </w:rPr>
        <w:t>2.当前对外贸易主要依赖北美市场</w:t>
      </w:r>
      <w:bookmarkEnd w:id="1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从“十三五“期间奉化区外贸进出口主要国家（地区）分布来看，奉化区进出口主要面向亚洲、欧洲和北美洲，其中针对北美洲市场的进出口贸易占比从2016年的20.12%上升到了2020年的24.5%，而且美国一个国家占到了整个北美洲地区进出口总额的92%以上，导致奉化区在应对中美贸易摩擦时较为被动，北美市场需求大幅缩水。</w:t>
      </w:r>
    </w:p>
    <w:p>
      <w:pPr>
        <w:spacing w:line="580" w:lineRule="exact"/>
        <w:ind w:firstLine="643" w:firstLineChars="200"/>
        <w:outlineLvl w:val="1"/>
      </w:pPr>
      <w:bookmarkStart w:id="14" w:name="_Toc65691824"/>
      <w:r>
        <w:rPr>
          <w:rFonts w:hint="eastAsia" w:ascii="仿宋_GB2312" w:hAnsi="Calibri" w:eastAsia="仿宋_GB2312"/>
          <w:b/>
          <w:sz w:val="32"/>
          <w:szCs w:val="32"/>
        </w:rPr>
        <w:t>3.贸易产业附加值总体偏低</w:t>
      </w:r>
      <w:bookmarkEnd w:id="1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企业出口主要集中在气动元件、厨卫家居、电子通讯、服装服饰、汽摩配件等几个板块，其中机械机电、纺织服饰、金属和塑料加工等低附加值产业占到进出口份额的绝大部分，面对国际竞争对手的迅速成长，随着政策支持逐渐弱化，生产要素价格优势也逐步丧失。虽然区政府在积极制定政策发展高新技术产业，引进外向型科技企业，但当前尚未形成规模。</w:t>
      </w:r>
    </w:p>
    <w:p>
      <w:pPr>
        <w:spacing w:line="580" w:lineRule="exact"/>
        <w:ind w:firstLine="643" w:firstLineChars="200"/>
        <w:outlineLvl w:val="1"/>
        <w:rPr>
          <w:rFonts w:ascii="微软雅黑" w:hAnsi="微软雅黑" w:eastAsia="微软雅黑"/>
          <w:color w:val="333333"/>
          <w:shd w:val="clear" w:color="auto" w:fill="FFFFFF"/>
        </w:rPr>
      </w:pPr>
      <w:bookmarkStart w:id="15" w:name="_Toc65691825"/>
      <w:r>
        <w:rPr>
          <w:rFonts w:hint="eastAsia" w:ascii="仿宋_GB2312" w:hAnsi="Calibri" w:eastAsia="仿宋_GB2312"/>
          <w:b/>
          <w:sz w:val="32"/>
          <w:szCs w:val="32"/>
        </w:rPr>
        <w:t>4.自主创新研发投入不高</w:t>
      </w:r>
      <w:bookmarkEnd w:id="1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奉化区的对外经济发展模式并不是依赖企业技术创新和优化企业管理，对外贸易的主体主要还是民营企业，效益经营理念上存在重出口销售、轻技术创新的思想，实际投入到产品技术研发的资金比较缺乏，大部分中小企业仍然无法承受产品开发、市场开拓的风险。</w:t>
      </w:r>
      <w:bookmarkStart w:id="16" w:name="_Toc15891"/>
      <w:bookmarkStart w:id="17" w:name="_Toc426917440"/>
    </w:p>
    <w:p>
      <w:pPr>
        <w:spacing w:line="580" w:lineRule="exact"/>
        <w:ind w:firstLine="640" w:firstLineChars="200"/>
        <w:outlineLvl w:val="0"/>
        <w:rPr>
          <w:rFonts w:ascii="黑体" w:hAnsi="黑体" w:eastAsia="黑体"/>
          <w:sz w:val="32"/>
          <w:szCs w:val="36"/>
        </w:rPr>
      </w:pPr>
      <w:bookmarkStart w:id="18" w:name="_Toc65691826"/>
      <w:r>
        <w:rPr>
          <w:rFonts w:hint="eastAsia" w:ascii="黑体" w:hAnsi="黑体" w:eastAsia="黑体"/>
          <w:sz w:val="32"/>
          <w:szCs w:val="36"/>
        </w:rPr>
        <w:t>二、发展</w:t>
      </w:r>
      <w:bookmarkEnd w:id="16"/>
      <w:bookmarkEnd w:id="17"/>
      <w:r>
        <w:rPr>
          <w:rFonts w:hint="eastAsia" w:ascii="黑体" w:hAnsi="黑体" w:eastAsia="黑体"/>
          <w:sz w:val="32"/>
          <w:szCs w:val="36"/>
        </w:rPr>
        <w:t>环境</w:t>
      </w:r>
      <w:bookmarkEnd w:id="18"/>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总体来看，“十</w:t>
      </w:r>
      <w:r>
        <w:rPr>
          <w:rFonts w:hint="eastAsia" w:ascii="仿宋_GB2312" w:hAnsi="Calibri" w:eastAsia="仿宋_GB2312"/>
          <w:sz w:val="32"/>
          <w:szCs w:val="32"/>
        </w:rPr>
        <w:t>四</w:t>
      </w:r>
      <w:r>
        <w:rPr>
          <w:rFonts w:ascii="仿宋_GB2312" w:hAnsi="Calibri" w:eastAsia="仿宋_GB2312"/>
          <w:sz w:val="32"/>
          <w:szCs w:val="32"/>
        </w:rPr>
        <w:t>五”时期我</w:t>
      </w:r>
      <w:r>
        <w:rPr>
          <w:rFonts w:hint="eastAsia" w:ascii="仿宋_GB2312" w:hAnsi="Calibri" w:eastAsia="仿宋_GB2312"/>
          <w:sz w:val="32"/>
          <w:szCs w:val="32"/>
        </w:rPr>
        <w:t>区</w:t>
      </w:r>
      <w:r>
        <w:rPr>
          <w:rFonts w:ascii="仿宋_GB2312" w:hAnsi="Calibri" w:eastAsia="仿宋_GB2312"/>
          <w:sz w:val="32"/>
          <w:szCs w:val="32"/>
        </w:rPr>
        <w:t>开放型经济仍处于可以大有作为的重要战略机遇期，但也面临着诸多矛盾叠加、风险隐患增多的严峻挑战，开放型经济发展形势将更为复杂多变，不确定性明显增加。</w:t>
      </w:r>
    </w:p>
    <w:p>
      <w:pPr>
        <w:spacing w:line="580" w:lineRule="exact"/>
        <w:ind w:firstLine="643" w:firstLineChars="200"/>
        <w:outlineLvl w:val="1"/>
        <w:rPr>
          <w:rFonts w:ascii="楷体_GB2312" w:hAnsi="黑体" w:eastAsia="楷体_GB2312"/>
          <w:b/>
          <w:sz w:val="32"/>
          <w:szCs w:val="36"/>
        </w:rPr>
      </w:pPr>
      <w:bookmarkStart w:id="19" w:name="_Toc65691827"/>
      <w:r>
        <w:rPr>
          <w:rFonts w:hint="eastAsia" w:ascii="楷体_GB2312" w:hAnsi="黑体" w:eastAsia="楷体_GB2312"/>
          <w:b/>
          <w:sz w:val="32"/>
          <w:szCs w:val="36"/>
        </w:rPr>
        <w:t>（一）机遇</w:t>
      </w:r>
      <w:bookmarkEnd w:id="19"/>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一是世界新一轮科技革命和产业变革同我国经济优化升级交汇融合。</w:t>
      </w:r>
      <w:r>
        <w:rPr>
          <w:rFonts w:hint="eastAsia" w:ascii="仿宋_GB2312" w:hAnsi="Calibri" w:eastAsia="仿宋_GB2312"/>
          <w:sz w:val="32"/>
          <w:szCs w:val="32"/>
        </w:rPr>
        <w:t>全球经济正经历数字化转型，以5G、人工智能、云计算、大数据、新能源、数字经济、共享经济等为代表的新一轮科技革命和产业变革赋予世界发展新动能，人类发展更加注重绿色、低碳、健康、智能、品质和便利，这与奉化产业高质量发展的目标和要求基本一致，为产业高质量发展提供创新要素支撑，为奉化区经济发展提供了良好的外部环境。</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二是长三角区域一体化发展带来的新机遇。</w:t>
      </w:r>
      <w:r>
        <w:rPr>
          <w:rFonts w:hint="eastAsia" w:ascii="仿宋_GB2312" w:hAnsi="Calibri" w:eastAsia="仿宋_GB2312"/>
          <w:sz w:val="32"/>
          <w:szCs w:val="32"/>
        </w:rPr>
        <w:t>在长江经济带、新丝绸之路经济带和21世纪海上丝绸之路建设中，我国实施长三角一体化发展战略，长三角战略地位进一步提升、范围进一步扩大、一体化进程明显加速，城际合作方兴未艾，合作内容拓展，合作区域拓宽，宁波正积极推动“港口经济圈”建设，将为奉化迎来开放型经济发展的历史性机遇。</w:t>
      </w:r>
    </w:p>
    <w:p>
      <w:pPr>
        <w:spacing w:line="580" w:lineRule="exact"/>
        <w:ind w:firstLine="643" w:firstLineChars="200"/>
        <w:rPr>
          <w:rFonts w:ascii="仿宋_GB2312" w:hAnsi="Calibri" w:eastAsia="仿宋_GB2312"/>
          <w:b/>
          <w:snapToGrid w:val="0"/>
          <w:sz w:val="32"/>
          <w:szCs w:val="32"/>
        </w:rPr>
      </w:pPr>
      <w:r>
        <w:rPr>
          <w:rFonts w:hint="eastAsia" w:ascii="仿宋_GB2312" w:hAnsi="Calibri" w:eastAsia="仿宋_GB2312"/>
          <w:b/>
          <w:sz w:val="32"/>
          <w:szCs w:val="32"/>
        </w:rPr>
        <w:t>三是浙江自贸区宁波片区获批。</w:t>
      </w:r>
      <w:r>
        <w:rPr>
          <w:rFonts w:hint="eastAsia" w:ascii="仿宋_GB2312" w:hAnsi="Calibri" w:eastAsia="仿宋_GB2312"/>
          <w:sz w:val="32"/>
          <w:szCs w:val="32"/>
        </w:rPr>
        <w:t>为融入宁波自贸片区建设，我区联动“8100”产业集群工程，实施“225”外贸双万亿行动，构建“先进制造业+国际贸易”双翼齐飞融合发展格局，推动开放型经济倍增转型计划，有利于进一步调整优化外贸产业结构，发挥商贸经济增质提质引领作用，夯实经济发展基础，推动全区经济高质量发展。</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z w:val="32"/>
          <w:szCs w:val="32"/>
        </w:rPr>
        <w:t>四是电子商务平台为奉化区开放型经济发展开辟新渠道。</w:t>
      </w:r>
      <w:r>
        <w:rPr>
          <w:rFonts w:hint="eastAsia" w:ascii="仿宋_GB2312" w:hAnsi="Calibri" w:eastAsia="仿宋_GB2312"/>
          <w:sz w:val="32"/>
          <w:szCs w:val="32"/>
        </w:rPr>
        <w:t>随着世界经济一体化、全球化进程加快，跨境电子商务对于增加贸易机会、提高贸易效率、降低贸易成本、增强企业竞争力和应变能力发挥着越来越大的作用。宁波市作为国家跨境电子商务试点城市，以跨境电商为突破口，实现外贸结构的优化，培育新的外贸增长点。作为奉化区对外经济发展的重要发力点，结合奉化区特色产业优势，全区将着力建设跨境电商产业园，稳步推动进出口贸易的转型升级，实现弯道超车</w:t>
      </w:r>
      <w:bookmarkStart w:id="20" w:name="_Toc13395"/>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b/>
          <w:sz w:val="32"/>
          <w:szCs w:val="36"/>
        </w:rPr>
      </w:pPr>
      <w:bookmarkStart w:id="21" w:name="_Toc65691828"/>
      <w:r>
        <w:rPr>
          <w:rFonts w:hint="eastAsia" w:ascii="楷体_GB2312" w:hAnsi="黑体" w:eastAsia="楷体_GB2312"/>
          <w:b/>
          <w:sz w:val="32"/>
          <w:szCs w:val="36"/>
        </w:rPr>
        <w:t>（二）</w:t>
      </w:r>
      <w:r>
        <w:rPr>
          <w:rFonts w:ascii="楷体_GB2312" w:hAnsi="黑体" w:eastAsia="楷体_GB2312"/>
          <w:b/>
          <w:sz w:val="32"/>
          <w:szCs w:val="36"/>
        </w:rPr>
        <w:t>挑战</w:t>
      </w:r>
      <w:bookmarkEnd w:id="20"/>
      <w:bookmarkEnd w:id="21"/>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一是复杂的国际形势和不确定性、不稳定性因素增多带来冲击。</w:t>
      </w:r>
      <w:r>
        <w:rPr>
          <w:rFonts w:hint="eastAsia" w:ascii="仿宋_GB2312" w:hAnsi="Calibri" w:eastAsia="仿宋_GB2312"/>
          <w:sz w:val="32"/>
          <w:szCs w:val="32"/>
        </w:rPr>
        <w:t>新冠肺炎疫情还在全球蔓延，各国为应对疫情采取限制性措施，使得社会生产、消费等活动受到重大影响，全球需求、国际贸易和对外投资急剧萎缩，致使世界经济复苏疲软，经济持续回升向好的基础尚不稳固。此外，以美国为典型代表的国际单边主义、贸易保护主义以及经济霸权主义仍时有抬头趋势。这些因素将给外向型经济带来下行风险。</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二是</w:t>
      </w:r>
      <w:r>
        <w:rPr>
          <w:rFonts w:ascii="仿宋_GB2312" w:hAnsi="Calibri" w:eastAsia="仿宋_GB2312"/>
          <w:b/>
          <w:snapToGrid w:val="0"/>
          <w:sz w:val="32"/>
          <w:szCs w:val="32"/>
        </w:rPr>
        <w:t>我国正处于全面深化改革的攻坚期。</w:t>
      </w:r>
      <w:r>
        <w:rPr>
          <w:rFonts w:hint="eastAsia" w:ascii="仿宋_GB2312" w:hAnsi="Calibri" w:eastAsia="仿宋_GB2312"/>
          <w:sz w:val="32"/>
          <w:szCs w:val="32"/>
        </w:rPr>
        <w:t>面对疫情新常态和严峻的国际形势，我国</w:t>
      </w:r>
      <w:r>
        <w:rPr>
          <w:rFonts w:ascii="仿宋_GB2312" w:hAnsi="Calibri" w:eastAsia="仿宋_GB2312"/>
          <w:sz w:val="32"/>
          <w:szCs w:val="32"/>
        </w:rPr>
        <w:t>经济发展面临速度换挡节点、结构调整节点、动力转换节点等新情况新问题，</w:t>
      </w:r>
      <w:r>
        <w:rPr>
          <w:rFonts w:hint="eastAsia" w:ascii="仿宋_GB2312" w:hAnsi="Calibri" w:eastAsia="仿宋_GB2312"/>
          <w:sz w:val="32"/>
          <w:szCs w:val="32"/>
        </w:rPr>
        <w:t>“</w:t>
      </w:r>
      <w:r>
        <w:rPr>
          <w:rFonts w:ascii="仿宋_GB2312" w:hAnsi="Calibri" w:eastAsia="仿宋_GB2312"/>
          <w:sz w:val="32"/>
          <w:szCs w:val="32"/>
        </w:rPr>
        <w:t>中等收入国家陷阱</w:t>
      </w:r>
      <w:r>
        <w:rPr>
          <w:rFonts w:hint="eastAsia" w:ascii="仿宋_GB2312" w:hAnsi="Calibri" w:eastAsia="仿宋_GB2312"/>
          <w:sz w:val="32"/>
          <w:szCs w:val="32"/>
        </w:rPr>
        <w:t>”</w:t>
      </w:r>
      <w:r>
        <w:rPr>
          <w:rFonts w:ascii="仿宋_GB2312" w:hAnsi="Calibri" w:eastAsia="仿宋_GB2312"/>
          <w:sz w:val="32"/>
          <w:szCs w:val="32"/>
        </w:rPr>
        <w:t>隐现，生产成本显著上升，人口老龄化快速加剧，环境约束不断加强，生态压力持续加大，政府债务和银行呆坏账风险、汇率与利率市场化改革风险抬头等，</w:t>
      </w:r>
      <w:r>
        <w:rPr>
          <w:rFonts w:hint="eastAsia" w:ascii="仿宋_GB2312" w:hAnsi="Calibri" w:eastAsia="仿宋_GB2312"/>
          <w:sz w:val="32"/>
          <w:szCs w:val="32"/>
        </w:rPr>
        <w:t>都</w:t>
      </w:r>
      <w:r>
        <w:rPr>
          <w:rFonts w:ascii="仿宋_GB2312" w:hAnsi="Calibri" w:eastAsia="仿宋_GB2312"/>
          <w:sz w:val="32"/>
          <w:szCs w:val="32"/>
        </w:rPr>
        <w:t>增加了经济发展的不确定性。</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三是宁波进出口贸易增长逐年放缓，产业优势未能充分发挥。</w:t>
      </w:r>
      <w:r>
        <w:rPr>
          <w:rFonts w:ascii="仿宋_GB2312" w:hAnsi="Calibri" w:eastAsia="仿宋_GB2312"/>
          <w:sz w:val="32"/>
          <w:szCs w:val="32"/>
        </w:rPr>
        <w:t>2020年宁波市外贸进出口总额为9786.9亿元</w:t>
      </w:r>
      <w:r>
        <w:rPr>
          <w:rFonts w:hint="eastAsia" w:ascii="仿宋_GB2312" w:hAnsi="Calibri" w:eastAsia="仿宋_GB2312"/>
          <w:sz w:val="32"/>
          <w:szCs w:val="32"/>
        </w:rPr>
        <w:t>，</w:t>
      </w:r>
      <w:r>
        <w:rPr>
          <w:rFonts w:ascii="仿宋_GB2312" w:hAnsi="Calibri" w:eastAsia="仿宋_GB2312"/>
          <w:sz w:val="32"/>
          <w:szCs w:val="32"/>
        </w:rPr>
        <w:t>与上年相比增长6.7%</w:t>
      </w:r>
      <w:r>
        <w:rPr>
          <w:rFonts w:hint="eastAsia" w:ascii="仿宋_GB2312" w:hAnsi="Calibri" w:eastAsia="仿宋_GB2312"/>
          <w:sz w:val="32"/>
          <w:szCs w:val="32"/>
        </w:rPr>
        <w:t>，增长逐年放缓；宁波进出口企业中，民营企业仍是发展主力军，然而2020年</w:t>
      </w:r>
      <w:r>
        <w:rPr>
          <w:rFonts w:ascii="仿宋_GB2312" w:hAnsi="Calibri" w:eastAsia="仿宋_GB2312"/>
          <w:sz w:val="32"/>
          <w:szCs w:val="32"/>
        </w:rPr>
        <w:t>外商投资企业进出口</w:t>
      </w:r>
      <w:r>
        <w:rPr>
          <w:rFonts w:hint="eastAsia" w:ascii="仿宋_GB2312" w:hAnsi="Calibri" w:eastAsia="仿宋_GB2312"/>
          <w:sz w:val="32"/>
          <w:szCs w:val="32"/>
        </w:rPr>
        <w:t>总额仅为</w:t>
      </w:r>
      <w:r>
        <w:rPr>
          <w:rFonts w:ascii="仿宋_GB2312" w:hAnsi="Calibri" w:eastAsia="仿宋_GB2312"/>
          <w:sz w:val="32"/>
          <w:szCs w:val="32"/>
        </w:rPr>
        <w:t>2136.3亿元，下降7.2%</w:t>
      </w:r>
      <w:r>
        <w:rPr>
          <w:rFonts w:hint="eastAsia" w:ascii="仿宋_GB2312" w:hAnsi="Calibri" w:eastAsia="仿宋_GB2312"/>
          <w:sz w:val="32"/>
          <w:szCs w:val="32"/>
        </w:rPr>
        <w:t>；以往的服装、鞋类、箱包、二极管及类似半导体器件等重点出口产品出现了下降，分别下降10.9%、25.7%、16.7%、25.9%；加工贸易出口、进口分别为590.1亿元、270.9亿元，比上年分别下降2.2%、9.8%。</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四是</w:t>
      </w:r>
      <w:r>
        <w:rPr>
          <w:rFonts w:ascii="仿宋_GB2312" w:hAnsi="Calibri" w:eastAsia="仿宋_GB2312"/>
          <w:b/>
          <w:snapToGrid w:val="0"/>
          <w:sz w:val="32"/>
          <w:szCs w:val="32"/>
        </w:rPr>
        <w:t>奉化创新驱动内生乏力，城市功能有待提升，空间结构亟待优化。</w:t>
      </w:r>
      <w:r>
        <w:rPr>
          <w:rFonts w:ascii="仿宋_GB2312" w:hAnsi="Calibri" w:eastAsia="仿宋_GB2312"/>
          <w:sz w:val="32"/>
          <w:szCs w:val="32"/>
        </w:rPr>
        <w:t>人口老龄化程度加剧，劳动力、土地等要素对经济增长的约束进一步显现，传统发展模式持续</w:t>
      </w:r>
      <w:r>
        <w:rPr>
          <w:rFonts w:hint="eastAsia" w:ascii="仿宋_GB2312" w:hAnsi="Calibri" w:eastAsia="仿宋_GB2312"/>
          <w:sz w:val="32"/>
          <w:szCs w:val="32"/>
        </w:rPr>
        <w:t>发展遇到困难</w:t>
      </w:r>
      <w:r>
        <w:rPr>
          <w:rFonts w:ascii="仿宋_GB2312" w:hAnsi="Calibri" w:eastAsia="仿宋_GB2312"/>
          <w:sz w:val="32"/>
          <w:szCs w:val="32"/>
        </w:rPr>
        <w:t>。相对于珠三角新兴开发区及上海等地</w:t>
      </w:r>
      <w:r>
        <w:rPr>
          <w:rFonts w:hint="eastAsia" w:ascii="仿宋_GB2312" w:hAnsi="Calibri" w:eastAsia="仿宋_GB2312"/>
          <w:sz w:val="32"/>
          <w:szCs w:val="32"/>
        </w:rPr>
        <w:t>成熟</w:t>
      </w:r>
      <w:r>
        <w:rPr>
          <w:rFonts w:ascii="仿宋_GB2312" w:hAnsi="Calibri" w:eastAsia="仿宋_GB2312"/>
          <w:sz w:val="32"/>
          <w:szCs w:val="32"/>
        </w:rPr>
        <w:t>自贸区，</w:t>
      </w:r>
      <w:r>
        <w:rPr>
          <w:rFonts w:hint="eastAsia" w:ascii="仿宋_GB2312" w:hAnsi="Calibri" w:eastAsia="仿宋_GB2312"/>
          <w:sz w:val="32"/>
          <w:szCs w:val="32"/>
        </w:rPr>
        <w:t>奉化仍有政策性红利不够突出等问题</w:t>
      </w:r>
      <w:r>
        <w:rPr>
          <w:rFonts w:ascii="仿宋_GB2312" w:hAnsi="Calibri" w:eastAsia="仿宋_GB2312"/>
          <w:sz w:val="32"/>
          <w:szCs w:val="32"/>
        </w:rPr>
        <w:t>，在吸引外资方面能级明显不足；相对重庆、西安等内陆新兴开放城市以及东南亚等地区，</w:t>
      </w:r>
      <w:r>
        <w:rPr>
          <w:rFonts w:hint="eastAsia" w:ascii="仿宋_GB2312" w:hAnsi="Calibri" w:eastAsia="仿宋_GB2312"/>
          <w:sz w:val="32"/>
          <w:szCs w:val="32"/>
        </w:rPr>
        <w:t>奉化</w:t>
      </w:r>
      <w:r>
        <w:rPr>
          <w:rFonts w:ascii="仿宋_GB2312" w:hAnsi="Calibri" w:eastAsia="仿宋_GB2312"/>
          <w:sz w:val="32"/>
          <w:szCs w:val="32"/>
        </w:rPr>
        <w:t>的劳动力成本较高，一些劳动密集型产业向这些地区流动的趋势还将持续，产业高端和低端两端受压、国际国内两面竞争加剧态势明显。</w:t>
      </w:r>
    </w:p>
    <w:p>
      <w:pPr>
        <w:spacing w:line="580" w:lineRule="exact"/>
        <w:ind w:firstLine="640" w:firstLineChars="200"/>
        <w:outlineLvl w:val="0"/>
        <w:rPr>
          <w:rFonts w:ascii="黑体" w:hAnsi="黑体" w:eastAsia="黑体"/>
          <w:sz w:val="32"/>
          <w:szCs w:val="36"/>
        </w:rPr>
      </w:pPr>
      <w:bookmarkStart w:id="22" w:name="_Toc434740938"/>
      <w:bookmarkStart w:id="23" w:name="_Toc434521321"/>
      <w:bookmarkStart w:id="24" w:name="_Toc20278"/>
      <w:bookmarkStart w:id="25" w:name="_Toc65691829"/>
      <w:r>
        <w:rPr>
          <w:rFonts w:hint="eastAsia" w:ascii="黑体" w:hAnsi="黑体" w:eastAsia="黑体"/>
          <w:sz w:val="32"/>
          <w:szCs w:val="36"/>
        </w:rPr>
        <w:t>三、</w:t>
      </w:r>
      <w:bookmarkEnd w:id="22"/>
      <w:bookmarkEnd w:id="23"/>
      <w:bookmarkEnd w:id="24"/>
      <w:r>
        <w:rPr>
          <w:rFonts w:hint="eastAsia" w:ascii="黑体" w:hAnsi="黑体" w:eastAsia="黑体"/>
          <w:sz w:val="32"/>
          <w:szCs w:val="36"/>
        </w:rPr>
        <w:t>总体要求</w:t>
      </w:r>
      <w:bookmarkEnd w:id="25"/>
    </w:p>
    <w:p>
      <w:pPr>
        <w:spacing w:line="580" w:lineRule="exact"/>
        <w:ind w:firstLine="643" w:firstLineChars="200"/>
        <w:outlineLvl w:val="1"/>
        <w:rPr>
          <w:rFonts w:ascii="楷体_GB2312" w:hAnsi="黑体" w:eastAsia="楷体_GB2312"/>
          <w:b/>
          <w:sz w:val="32"/>
          <w:szCs w:val="36"/>
        </w:rPr>
      </w:pPr>
      <w:bookmarkStart w:id="26" w:name="_Toc9351"/>
      <w:bookmarkStart w:id="27" w:name="_Toc65691830"/>
      <w:bookmarkStart w:id="28" w:name="_Toc434740939"/>
      <w:r>
        <w:rPr>
          <w:rFonts w:ascii="楷体_GB2312" w:hAnsi="黑体" w:eastAsia="楷体_GB2312"/>
          <w:b/>
          <w:sz w:val="32"/>
          <w:szCs w:val="36"/>
        </w:rPr>
        <w:t>（一）指导思想</w:t>
      </w:r>
      <w:bookmarkEnd w:id="26"/>
      <w:bookmarkEnd w:id="27"/>
      <w:bookmarkEnd w:id="28"/>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习近平新时代中国特色社会主义思想为指导，全面贯彻落实党的十九大和十九届二中、三中、四中、五中全会精神，践行新发展理念，坚持以高质量发展为统领，以改革开放为初心，以工贸经济总量持续发展和产业转型提质提档为使命，以服务国家“一带一路”和浙江自贸区宁波片区建设为依托，统筹国内国外两个大局，优化内资外资两种资源，努力引进培育外贸新业态，打造外向型经济新型商贸圈，引导传统外贸向数字化、优质化、平台化方向发展，形成内外贸并进发力，进出口均稳发展，外经外包融合提速，跨境电商、数字贸易和服务贸易助力转型的开放型经济发展新格局，</w:t>
      </w:r>
      <w:r>
        <w:rPr>
          <w:rFonts w:ascii="仿宋_GB2312" w:hAnsi="Calibri" w:eastAsia="仿宋_GB2312"/>
          <w:sz w:val="32"/>
          <w:szCs w:val="32"/>
        </w:rPr>
        <w:t>为宁波建设国内国际双循环枢纽城市、当好浙江</w:t>
      </w:r>
      <w:r>
        <w:rPr>
          <w:rFonts w:hint="eastAsia" w:ascii="仿宋_GB2312" w:hAnsi="Calibri" w:eastAsia="仿宋_GB2312"/>
          <w:sz w:val="32"/>
          <w:szCs w:val="32"/>
        </w:rPr>
        <w:t>“</w:t>
      </w:r>
      <w:r>
        <w:rPr>
          <w:rFonts w:ascii="仿宋_GB2312" w:hAnsi="Calibri" w:eastAsia="仿宋_GB2312"/>
          <w:sz w:val="32"/>
          <w:szCs w:val="32"/>
        </w:rPr>
        <w:t>重要窗口</w:t>
      </w:r>
      <w:r>
        <w:rPr>
          <w:rFonts w:hint="eastAsia" w:ascii="仿宋_GB2312" w:hAnsi="Calibri" w:eastAsia="仿宋_GB2312"/>
          <w:sz w:val="32"/>
          <w:szCs w:val="32"/>
        </w:rPr>
        <w:t>”</w:t>
      </w:r>
      <w:r>
        <w:rPr>
          <w:rFonts w:ascii="仿宋_GB2312" w:hAnsi="Calibri" w:eastAsia="仿宋_GB2312"/>
          <w:sz w:val="32"/>
          <w:szCs w:val="32"/>
        </w:rPr>
        <w:t>建设模范生</w:t>
      </w:r>
      <w:r>
        <w:rPr>
          <w:rFonts w:hint="eastAsia" w:ascii="仿宋_GB2312" w:hAnsi="Calibri" w:eastAsia="仿宋_GB2312"/>
          <w:sz w:val="32"/>
          <w:szCs w:val="32"/>
        </w:rPr>
        <w:t>、争创社会主义现代化先行市</w:t>
      </w:r>
      <w:r>
        <w:rPr>
          <w:rFonts w:ascii="仿宋_GB2312" w:hAnsi="Calibri" w:eastAsia="仿宋_GB2312"/>
          <w:sz w:val="32"/>
          <w:szCs w:val="32"/>
        </w:rPr>
        <w:t>作出贡献</w:t>
      </w:r>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b/>
          <w:sz w:val="32"/>
          <w:szCs w:val="36"/>
        </w:rPr>
      </w:pPr>
      <w:bookmarkStart w:id="29" w:name="_Toc32272"/>
      <w:bookmarkStart w:id="30" w:name="_Toc426917445"/>
      <w:bookmarkStart w:id="31" w:name="_Toc65691831"/>
      <w:r>
        <w:rPr>
          <w:rFonts w:ascii="楷体_GB2312" w:hAnsi="黑体" w:eastAsia="楷体_GB2312"/>
          <w:b/>
          <w:sz w:val="32"/>
          <w:szCs w:val="36"/>
        </w:rPr>
        <w:t>（二）基本原则</w:t>
      </w:r>
      <w:bookmarkEnd w:id="29"/>
      <w:bookmarkEnd w:id="30"/>
      <w:bookmarkEnd w:id="31"/>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坚持与国际市场和国内市场内外对接。</w:t>
      </w:r>
      <w:r>
        <w:rPr>
          <w:rFonts w:hint="eastAsia" w:ascii="仿宋_GB2312" w:hAnsi="Calibri" w:eastAsia="仿宋_GB2312"/>
          <w:sz w:val="32"/>
          <w:szCs w:val="32"/>
        </w:rPr>
        <w:t>把握好数字经济发展，以及加快构建国内大循环为我区对外经济发展带来的新机遇，立足本区开放型经济发展现状，顺应国际市场环境的重大变化和国内消费结构升级的迫切要求，努力形成以国内大循环为主体、国内国际双循环相互促进的新发展格局。</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坚持高水平对外开放和高质量经济发展相辅相成。</w:t>
      </w:r>
      <w:r>
        <w:rPr>
          <w:rFonts w:hint="eastAsia" w:ascii="仿宋_GB2312" w:hAnsi="Calibri" w:eastAsia="仿宋_GB2312"/>
          <w:sz w:val="32"/>
          <w:szCs w:val="32"/>
        </w:rPr>
        <w:t>以促进经济高质量发展为核心，以“一带一路”建设为统领，推动更大范围、更宽领域、更深层次的对外开放，以开放促改革、促发展、促创新。抢占互联网、物联网、跨境电商、5G技术应用、大数据等外贸创新领域发展先机，拓展新领域、培育新业态、探索新模式，加大力度引进落户“大而优”、“小而美”的外向型科技企业，不断调整优化我区外向型经济产业结构。</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 “引进来”与 “走出去”双轮驱动。</w:t>
      </w:r>
      <w:r>
        <w:rPr>
          <w:rFonts w:hint="eastAsia" w:ascii="仿宋_GB2312" w:hAnsi="Calibri" w:eastAsia="仿宋_GB2312"/>
          <w:snapToGrid w:val="0"/>
          <w:sz w:val="32"/>
          <w:szCs w:val="32"/>
        </w:rPr>
        <w:t>积极对接宁波“225”外贸双万亿行动，促进货物和服务贸易进出口双提升</w:t>
      </w:r>
      <w:r>
        <w:rPr>
          <w:rFonts w:hint="eastAsia" w:ascii="仿宋_GB2312" w:hAnsi="Calibri" w:eastAsia="仿宋_GB2312"/>
          <w:sz w:val="32"/>
          <w:szCs w:val="32"/>
        </w:rPr>
        <w:t>，不断完善面向全球的生产、服务、贸易、投资、金融网络；加大“以展拓市”和“产品出海”力度，鼓励和动员企业参与R</w:t>
      </w:r>
      <w:r>
        <w:rPr>
          <w:rFonts w:ascii="仿宋_GB2312" w:hAnsi="Calibri" w:eastAsia="仿宋_GB2312"/>
          <w:sz w:val="32"/>
          <w:szCs w:val="32"/>
        </w:rPr>
        <w:t>ECP</w:t>
      </w:r>
      <w:r>
        <w:rPr>
          <w:rFonts w:hint="eastAsia" w:ascii="仿宋_GB2312" w:hAnsi="Calibri" w:eastAsia="仿宋_GB2312"/>
          <w:sz w:val="32"/>
          <w:szCs w:val="32"/>
        </w:rPr>
        <w:t>、中东欧 、和“一带一路”沿线国家对外经贸合作和境外投资。</w:t>
      </w:r>
    </w:p>
    <w:p>
      <w:pPr>
        <w:spacing w:line="580" w:lineRule="exact"/>
        <w:ind w:firstLine="643" w:firstLineChars="200"/>
        <w:rPr>
          <w:rFonts w:ascii="仿宋_GB2312" w:hAnsi="Calibri" w:eastAsia="仿宋_GB2312"/>
          <w:sz w:val="32"/>
          <w:szCs w:val="32"/>
        </w:rPr>
      </w:pPr>
      <w:r>
        <w:rPr>
          <w:rFonts w:hint="eastAsia" w:ascii="仿宋_GB2312" w:hAnsi="Calibri" w:eastAsia="仿宋_GB2312"/>
          <w:b/>
          <w:snapToGrid w:val="0"/>
          <w:sz w:val="32"/>
          <w:szCs w:val="32"/>
        </w:rPr>
        <w:t>坚持外向型经济新平台与宁波各大平台之间联动融合。</w:t>
      </w:r>
      <w:r>
        <w:rPr>
          <w:rFonts w:hint="eastAsia" w:ascii="仿宋_GB2312" w:hAnsi="Calibri" w:eastAsia="仿宋_GB2312"/>
          <w:sz w:val="32"/>
          <w:szCs w:val="32"/>
        </w:rPr>
        <w:t>积极对接宁波外口服务部门，利用新区建设机遇争取规划前置、政策倾斜和功能补全，促进内需和外需的联动发力。依托宁波舟山港和宁波各大平台内引外联、联动融合，打破地区封锁形成的各种政策壁垒，提升对外开放能级，形成要素自由流动、高效运行的市场体系，融入长三角大区域发展。</w:t>
      </w:r>
    </w:p>
    <w:p>
      <w:pPr>
        <w:spacing w:line="580" w:lineRule="exact"/>
        <w:ind w:firstLine="643" w:firstLineChars="200"/>
        <w:outlineLvl w:val="1"/>
      </w:pPr>
      <w:bookmarkStart w:id="32" w:name="_Toc65691832"/>
      <w:bookmarkStart w:id="33" w:name="_Toc17075"/>
      <w:r>
        <w:rPr>
          <w:rFonts w:ascii="楷体_GB2312" w:hAnsi="黑体" w:eastAsia="楷体_GB2312"/>
          <w:b/>
          <w:sz w:val="32"/>
          <w:szCs w:val="36"/>
        </w:rPr>
        <w:t>（三）功能定位</w:t>
      </w:r>
      <w:bookmarkEnd w:id="32"/>
      <w:bookmarkEnd w:id="33"/>
    </w:p>
    <w:p>
      <w:pPr>
        <w:spacing w:line="580" w:lineRule="exact"/>
        <w:ind w:firstLine="643" w:firstLineChars="200"/>
        <w:outlineLvl w:val="1"/>
        <w:rPr>
          <w:rFonts w:ascii="仿宋_GB2312" w:hAnsi="Calibri" w:eastAsia="仿宋_GB2312"/>
          <w:b/>
          <w:sz w:val="32"/>
          <w:szCs w:val="32"/>
        </w:rPr>
      </w:pPr>
      <w:bookmarkStart w:id="34" w:name="_Toc65691833"/>
      <w:r>
        <w:rPr>
          <w:rFonts w:hint="eastAsia" w:ascii="仿宋_GB2312" w:hAnsi="Calibri" w:eastAsia="仿宋_GB2312"/>
          <w:b/>
          <w:sz w:val="32"/>
          <w:szCs w:val="32"/>
        </w:rPr>
        <w:t>1.打造宁波重要的进出口基地</w:t>
      </w:r>
      <w:bookmarkEnd w:id="3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依托我区总部经济政策和开放型经济扶持政策，大力实施外贸出口流通型企业招引落户，拉动出口；做好存量外向型企业和工贸结合型企业的服务工作，重点保障转型升级类企业的优先发展，拉动增量。组织引导企业通过上海进博会、中国-中东欧国家博览会、“一带一路”沿线国家经贸交流以及宁波各功能港区加大货物进出口。探索建立保税厂、免税店等货物进口、直销渠道，完善进口贸易服务平台建设。加快金融保险服务贸易发展，吸引外资银行、证券保险机构落户。努力培育文化创意、影视影像、动漫游戏等文化产品生产企业出口增量。招引研发设计、检验检测、冷链仓储物流、人力资源、法务税务等专业机构密集落户我区。完善服务外包企业扶持政策体系，引导服务外包向国际化、品牌化、智能化、数字化方向升级跨越。</w:t>
      </w:r>
    </w:p>
    <w:p>
      <w:pPr>
        <w:spacing w:line="580" w:lineRule="exact"/>
        <w:ind w:firstLine="643" w:firstLineChars="200"/>
        <w:outlineLvl w:val="1"/>
        <w:rPr>
          <w:rFonts w:ascii="仿宋_GB2312" w:hAnsi="Calibri" w:eastAsia="仿宋_GB2312"/>
          <w:b/>
          <w:sz w:val="32"/>
          <w:szCs w:val="32"/>
        </w:rPr>
      </w:pPr>
      <w:bookmarkStart w:id="35" w:name="_Toc65691834"/>
      <w:r>
        <w:rPr>
          <w:rFonts w:hint="eastAsia" w:ascii="仿宋_GB2312" w:hAnsi="Calibri" w:eastAsia="仿宋_GB2312"/>
          <w:b/>
          <w:sz w:val="32"/>
          <w:szCs w:val="32"/>
        </w:rPr>
        <w:t>2.打造宁波国家级供应链创新与应用试点</w:t>
      </w:r>
      <w:bookmarkEnd w:id="3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发展数字贸易新业态，招引数字内容供应商，推动大数据、物联网、区块链、人工智能等数字技术在各行业的应用。鼓励增值电信服务、数字金融、数字内容产业、互联网服务等在贸易领域对外开放先行先试。依托驿淘跨境电商园和跨境电商协会，招引落户跨境电商平台类、服务类企业。强化和支持鼓励跨境电商培训、招引跨境电商专才，引导企业与阿里巴巴和亚马逊等平台的跨境业务合作，拓展海外业务。</w:t>
      </w:r>
    </w:p>
    <w:p>
      <w:pPr>
        <w:spacing w:line="580" w:lineRule="exact"/>
        <w:ind w:firstLine="643" w:firstLineChars="200"/>
        <w:outlineLvl w:val="1"/>
        <w:rPr>
          <w:rFonts w:ascii="仿宋_GB2312" w:hAnsi="Calibri" w:eastAsia="仿宋_GB2312"/>
          <w:b/>
          <w:snapToGrid w:val="0"/>
          <w:sz w:val="32"/>
          <w:szCs w:val="32"/>
        </w:rPr>
      </w:pPr>
      <w:bookmarkStart w:id="36" w:name="_Toc65691835"/>
      <w:r>
        <w:rPr>
          <w:rFonts w:hint="eastAsia" w:ascii="仿宋_GB2312" w:hAnsi="Calibri" w:eastAsia="仿宋_GB2312"/>
          <w:b/>
          <w:sz w:val="32"/>
          <w:szCs w:val="32"/>
        </w:rPr>
        <w:t>3.打造开放型专业平台样板</w:t>
      </w:r>
      <w:bookmarkEnd w:id="36"/>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推动发展加工贸易产业园、境外商品展销交易区建设，配套便利化招商、运营、管理措施，落地先行先试园区政策，在开放型经济领域树立标杆。在岳林街道区域内推动建设数字经济产业园和开放型经济园区。在宁南物流园区、松岙旅游休闲区推动建设保税区、直销中心、免税街区。抢抓优势产业跨越发展新机遇，支持和引导服装、气动元件、IT元器件等行业协会和龙头企业整合资源，培育打造“小而美”外向型创新孵化平台。</w:t>
      </w:r>
    </w:p>
    <w:p>
      <w:pPr>
        <w:spacing w:line="580" w:lineRule="exact"/>
        <w:ind w:firstLine="643" w:firstLineChars="200"/>
        <w:outlineLvl w:val="1"/>
        <w:rPr>
          <w:rFonts w:ascii="楷体_GB2312" w:hAnsi="黑体" w:eastAsia="楷体_GB2312"/>
          <w:b/>
          <w:sz w:val="32"/>
          <w:szCs w:val="36"/>
        </w:rPr>
      </w:pPr>
      <w:bookmarkStart w:id="37" w:name="_Toc10244"/>
      <w:bookmarkStart w:id="38" w:name="_Toc65691836"/>
      <w:r>
        <w:rPr>
          <w:rFonts w:ascii="楷体_GB2312" w:hAnsi="黑体" w:eastAsia="楷体_GB2312"/>
          <w:b/>
          <w:sz w:val="32"/>
          <w:szCs w:val="36"/>
        </w:rPr>
        <w:t>（四）发展目标</w:t>
      </w:r>
      <w:bookmarkEnd w:id="37"/>
      <w:bookmarkEnd w:id="38"/>
    </w:p>
    <w:p>
      <w:pPr>
        <w:spacing w:line="580" w:lineRule="exact"/>
        <w:ind w:firstLine="643" w:firstLineChars="200"/>
        <w:outlineLvl w:val="1"/>
        <w:rPr>
          <w:rFonts w:ascii="仿宋_GB2312" w:hAnsi="Calibri" w:eastAsia="仿宋_GB2312"/>
          <w:b/>
          <w:sz w:val="32"/>
          <w:szCs w:val="32"/>
        </w:rPr>
      </w:pPr>
      <w:bookmarkStart w:id="39" w:name="_Toc65691837"/>
      <w:r>
        <w:rPr>
          <w:rFonts w:ascii="仿宋_GB2312" w:hAnsi="Calibri" w:eastAsia="仿宋_GB2312"/>
          <w:b/>
          <w:sz w:val="32"/>
          <w:szCs w:val="32"/>
        </w:rPr>
        <w:t>1.</w:t>
      </w:r>
      <w:r>
        <w:rPr>
          <w:rFonts w:hint="eastAsia" w:ascii="仿宋_GB2312" w:hAnsi="Calibri" w:eastAsia="仿宋_GB2312"/>
          <w:b/>
          <w:sz w:val="32"/>
          <w:szCs w:val="32"/>
        </w:rPr>
        <w:t>贸易规模持续增长</w:t>
      </w:r>
      <w:bookmarkEnd w:id="39"/>
    </w:p>
    <w:p>
      <w:pPr>
        <w:spacing w:line="580" w:lineRule="exact"/>
        <w:ind w:firstLine="640" w:firstLineChars="200"/>
        <w:rPr>
          <w:rFonts w:ascii="仿宋_GB2312" w:hAnsi="Calibri" w:eastAsia="仿宋_GB2312"/>
          <w:snapToGrid w:val="0"/>
          <w:sz w:val="32"/>
          <w:szCs w:val="32"/>
        </w:rPr>
      </w:pPr>
      <w:r>
        <w:rPr>
          <w:rFonts w:hint="eastAsia" w:ascii="仿宋_GB2312" w:hAnsi="Calibri" w:eastAsia="仿宋_GB2312"/>
          <w:snapToGrid w:val="0"/>
          <w:sz w:val="32"/>
          <w:szCs w:val="32"/>
        </w:rPr>
        <w:t>货物出口确保年均增速与宁波同步，力争超速，出口总额至2025突破350亿元，出口份额占全国力争达到11</w:t>
      </w:r>
      <w:r>
        <w:rPr>
          <w:rFonts w:hint="eastAsia" w:ascii="MS Mincho" w:hAnsi="MS Mincho" w:eastAsia="MS Mincho" w:cs="MS Mincho"/>
          <w:snapToGrid w:val="0"/>
          <w:sz w:val="32"/>
          <w:szCs w:val="32"/>
        </w:rPr>
        <w:t>‱</w:t>
      </w:r>
      <w:r>
        <w:rPr>
          <w:rFonts w:hint="eastAsia" w:ascii="仿宋_GB2312" w:hAnsi="Calibri" w:eastAsia="仿宋_GB2312"/>
          <w:snapToGrid w:val="0"/>
          <w:sz w:val="32"/>
          <w:szCs w:val="32"/>
        </w:rPr>
        <w:t>，</w:t>
      </w:r>
      <w:r>
        <w:rPr>
          <w:rFonts w:hint="eastAsia" w:ascii="仿宋" w:hAnsi="仿宋" w:eastAsia="仿宋" w:cs="仿宋"/>
          <w:sz w:val="32"/>
          <w:szCs w:val="32"/>
        </w:rPr>
        <w:t>货物进口倍速于出口增速，总量达到100亿元。</w:t>
      </w:r>
    </w:p>
    <w:p>
      <w:pPr>
        <w:spacing w:line="580" w:lineRule="exact"/>
        <w:ind w:firstLine="643" w:firstLineChars="200"/>
        <w:outlineLvl w:val="1"/>
        <w:rPr>
          <w:rFonts w:ascii="仿宋_GB2312" w:hAnsi="Calibri" w:eastAsia="仿宋_GB2312"/>
          <w:b/>
          <w:sz w:val="32"/>
          <w:szCs w:val="32"/>
        </w:rPr>
      </w:pPr>
      <w:bookmarkStart w:id="40" w:name="_Toc65691838"/>
      <w:r>
        <w:rPr>
          <w:rFonts w:hint="eastAsia" w:ascii="仿宋_GB2312" w:hAnsi="Calibri" w:eastAsia="仿宋_GB2312"/>
          <w:b/>
          <w:sz w:val="32"/>
          <w:szCs w:val="32"/>
        </w:rPr>
        <w:t>2.贸易结构不断优化</w:t>
      </w:r>
      <w:bookmarkEnd w:id="4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货物贸易方面，进一步提高进出口商品的附加值，到2025年，机电及高新技术产品出口稳步提速，确保占全部货物贸易比重达到65%以上。进一步优化贸易方式结构，</w:t>
      </w:r>
      <w:r>
        <w:rPr>
          <w:rFonts w:hint="eastAsia" w:ascii="仿宋" w:hAnsi="仿宋" w:eastAsia="仿宋" w:cs="仿宋"/>
          <w:sz w:val="32"/>
          <w:szCs w:val="32"/>
        </w:rPr>
        <w:t>加快发展服务贸易和服务外包产业，总量分别达到50亿元和15亿元。</w:t>
      </w:r>
      <w:r>
        <w:rPr>
          <w:rFonts w:hint="eastAsia" w:ascii="仿宋_GB2312" w:hAnsi="Calibri" w:eastAsia="仿宋_GB2312"/>
          <w:sz w:val="32"/>
          <w:szCs w:val="32"/>
        </w:rPr>
        <w:t>发展跨境电商交易，通过跨境机构引进、专才招引和培训，跨境电商交易额达到8亿美元，年均增速25%以上；鼓励和发展数字贸易新业态，在对外开放中先行先试，数字贸易总额达到60亿元。</w:t>
      </w:r>
    </w:p>
    <w:p>
      <w:pPr>
        <w:spacing w:line="580" w:lineRule="exact"/>
        <w:ind w:firstLine="643" w:firstLineChars="200"/>
        <w:outlineLvl w:val="1"/>
        <w:rPr>
          <w:rFonts w:ascii="仿宋_GB2312" w:hAnsi="Calibri" w:eastAsia="仿宋_GB2312"/>
          <w:b/>
          <w:sz w:val="32"/>
          <w:szCs w:val="32"/>
        </w:rPr>
      </w:pPr>
      <w:bookmarkStart w:id="41" w:name="_Toc65691839"/>
      <w:r>
        <w:rPr>
          <w:rFonts w:hint="eastAsia" w:ascii="仿宋_GB2312" w:hAnsi="Calibri" w:eastAsia="仿宋_GB2312"/>
          <w:b/>
          <w:sz w:val="32"/>
          <w:szCs w:val="32"/>
        </w:rPr>
        <w:t>3.外经合作水平提高</w:t>
      </w:r>
      <w:bookmarkEnd w:id="41"/>
    </w:p>
    <w:p>
      <w:pPr>
        <w:pStyle w:val="24"/>
        <w:spacing w:beforeAutospacing="0" w:afterAutospacing="0"/>
        <w:ind w:firstLine="640" w:firstLineChars="200"/>
        <w:jc w:val="both"/>
        <w:rPr>
          <w:rFonts w:ascii="仿宋" w:hAnsi="仿宋" w:eastAsia="仿宋" w:cs="仿宋"/>
          <w:kern w:val="2"/>
          <w:sz w:val="32"/>
          <w:szCs w:val="32"/>
        </w:rPr>
      </w:pPr>
      <w:r>
        <w:rPr>
          <w:rFonts w:hint="eastAsia" w:ascii="仿宋_GB2312" w:hAnsi="Calibri" w:eastAsia="仿宋_GB2312"/>
          <w:sz w:val="32"/>
          <w:szCs w:val="32"/>
        </w:rPr>
        <w:t>进一步提升先进制造业、现代服务业和资源开发类项目的对外投资比重；通过“走出去”力争培育若干个具有国际竞争力的跨国企业和知名品牌；进一步加强“走出去”和“引进来”联动，逐步形成有效配置国际国内资源的重要平台。力争到“十四五”末完成累计实到外资7亿美元以上，累计引进外资项目100个以上。其中，R</w:t>
      </w:r>
      <w:r>
        <w:rPr>
          <w:rFonts w:ascii="仿宋_GB2312" w:hAnsi="Calibri" w:eastAsia="仿宋_GB2312"/>
          <w:sz w:val="32"/>
          <w:szCs w:val="32"/>
        </w:rPr>
        <w:t>ECP</w:t>
      </w:r>
      <w:r>
        <w:rPr>
          <w:rFonts w:hint="eastAsia" w:ascii="仿宋_GB2312" w:hAnsi="Calibri" w:eastAsia="仿宋_GB2312"/>
          <w:sz w:val="32"/>
          <w:szCs w:val="32"/>
        </w:rPr>
        <w:t>、</w:t>
      </w:r>
      <w:r>
        <w:rPr>
          <w:rFonts w:hint="eastAsia" w:ascii="仿宋" w:hAnsi="仿宋" w:eastAsia="仿宋" w:cs="仿宋"/>
          <w:kern w:val="2"/>
          <w:sz w:val="32"/>
          <w:szCs w:val="32"/>
        </w:rPr>
        <w:t>中东欧和一带一路沿线国家双向投资总额和进出口贸易总额年均增速15%以上，分别累计达到2亿元、150亿元。</w:t>
      </w:r>
    </w:p>
    <w:p>
      <w:pPr>
        <w:spacing w:line="580" w:lineRule="exact"/>
        <w:ind w:firstLine="643" w:firstLineChars="200"/>
        <w:outlineLvl w:val="1"/>
        <w:rPr>
          <w:rFonts w:ascii="仿宋_GB2312" w:hAnsi="Calibri" w:eastAsia="仿宋_GB2312"/>
          <w:b/>
          <w:sz w:val="32"/>
          <w:szCs w:val="32"/>
        </w:rPr>
      </w:pPr>
      <w:bookmarkStart w:id="42" w:name="_Toc65691840"/>
      <w:r>
        <w:rPr>
          <w:rFonts w:hint="eastAsia" w:ascii="仿宋_GB2312" w:hAnsi="Calibri" w:eastAsia="仿宋_GB2312"/>
          <w:b/>
          <w:sz w:val="32"/>
          <w:szCs w:val="32"/>
        </w:rPr>
        <w:t>4.发展环境更加完善</w:t>
      </w:r>
      <w:bookmarkEnd w:id="4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进一步完善各类基础设施，大力推动各类进出口贸易平台建设，营造良好的发展环境。在宁南、松岙、岳林片区推动开放型经济专业化园区和平台构建，力争在2025年建成2－3个外向型企业块状集聚区。以镇街道为依托，至2025年建成并运营“小而美”外向型创新孵化平台2个以上，新增平台上下游产业进出口增量50亿元以上。针对各类新型贸易方式发展需求，制定和实施外贸引才“千人计划”，力争年均引进外贸专才1000名以上，每年组织落实开放型经济培训4场以上，年均培训从业人员300人以上。组织引导企业“走出去”参与国际市场竞争和对外经济交流合作，年均组织企业境外活动4次以上、展会2次以上、参展企业40家以上。</w:t>
      </w:r>
    </w:p>
    <w:p>
      <w:pPr>
        <w:spacing w:line="580" w:lineRule="exact"/>
        <w:ind w:firstLine="640" w:firstLineChars="200"/>
        <w:outlineLvl w:val="0"/>
        <w:rPr>
          <w:rFonts w:ascii="黑体" w:hAnsi="黑体" w:eastAsia="黑体"/>
          <w:sz w:val="32"/>
          <w:szCs w:val="36"/>
        </w:rPr>
      </w:pPr>
      <w:bookmarkStart w:id="43" w:name="_Toc65691841"/>
      <w:r>
        <w:rPr>
          <w:rFonts w:hint="eastAsia" w:ascii="黑体" w:hAnsi="黑体" w:eastAsia="黑体"/>
          <w:sz w:val="32"/>
          <w:szCs w:val="36"/>
        </w:rPr>
        <w:t>四、主要任务</w:t>
      </w:r>
      <w:bookmarkEnd w:id="43"/>
    </w:p>
    <w:p>
      <w:pPr>
        <w:spacing w:line="580" w:lineRule="exact"/>
        <w:ind w:firstLine="643" w:firstLineChars="200"/>
        <w:outlineLvl w:val="1"/>
        <w:rPr>
          <w:rFonts w:ascii="楷体_GB2312" w:hAnsi="黑体" w:eastAsia="楷体_GB2312"/>
          <w:b/>
          <w:sz w:val="32"/>
          <w:szCs w:val="36"/>
        </w:rPr>
      </w:pPr>
      <w:bookmarkStart w:id="44" w:name="_Toc65691842"/>
      <w:r>
        <w:rPr>
          <w:rFonts w:hint="eastAsia" w:ascii="楷体_GB2312" w:hAnsi="黑体" w:eastAsia="楷体_GB2312"/>
          <w:b/>
          <w:sz w:val="32"/>
          <w:szCs w:val="36"/>
        </w:rPr>
        <w:t>（一）融入宁波自贸片区</w:t>
      </w:r>
      <w:bookmarkEnd w:id="44"/>
    </w:p>
    <w:p>
      <w:pPr>
        <w:spacing w:line="580" w:lineRule="exact"/>
        <w:ind w:firstLine="643" w:firstLineChars="200"/>
        <w:outlineLvl w:val="1"/>
        <w:rPr>
          <w:rFonts w:ascii="仿宋_GB2312" w:hAnsi="Calibri" w:eastAsia="仿宋_GB2312"/>
          <w:b/>
          <w:sz w:val="32"/>
          <w:szCs w:val="32"/>
        </w:rPr>
      </w:pPr>
      <w:bookmarkStart w:id="45" w:name="_Toc65691843"/>
      <w:r>
        <w:rPr>
          <w:rFonts w:hint="eastAsia" w:ascii="仿宋_GB2312" w:hAnsi="Calibri" w:eastAsia="仿宋_GB2312"/>
          <w:b/>
          <w:sz w:val="32"/>
          <w:szCs w:val="32"/>
        </w:rPr>
        <w:t>1.建设奉化区开放型经济体制机制</w:t>
      </w:r>
    </w:p>
    <w:p>
      <w:pPr>
        <w:autoSpaceDE w:val="0"/>
        <w:autoSpaceDN w:val="0"/>
        <w:adjustRightInd w:val="0"/>
        <w:ind w:firstLine="640" w:firstLineChars="200"/>
        <w:rPr>
          <w:rFonts w:ascii="E-BZ" w:hAnsi="Times New Roman" w:eastAsia="E-BZ" w:cs="E-BZ"/>
          <w:kern w:val="0"/>
          <w:sz w:val="29"/>
          <w:szCs w:val="29"/>
        </w:rPr>
      </w:pPr>
      <w:r>
        <w:rPr>
          <w:rFonts w:hint="eastAsia" w:ascii="仿宋_GB2312" w:hAnsi="Calibri" w:eastAsia="仿宋_GB2312"/>
          <w:sz w:val="32"/>
          <w:szCs w:val="32"/>
        </w:rPr>
        <w:t>探索奉化开放型经济运行管理新模式，发挥地方商协会在行业自律、制定技术标准、开拓国际市场、产业安全预警等方面的作用。探索形成各类开发区</w:t>
      </w:r>
      <w:r>
        <w:rPr>
          <w:rFonts w:ascii="仿宋_GB2312" w:hAnsi="Calibri" w:eastAsia="仿宋_GB2312"/>
          <w:sz w:val="32"/>
          <w:szCs w:val="32"/>
        </w:rPr>
        <w:t>(</w:t>
      </w:r>
      <w:r>
        <w:rPr>
          <w:rFonts w:hint="eastAsia" w:ascii="仿宋_GB2312" w:hAnsi="Calibri" w:eastAsia="仿宋_GB2312"/>
          <w:sz w:val="32"/>
          <w:szCs w:val="32"/>
        </w:rPr>
        <w:t>园区</w:t>
      </w:r>
      <w:r>
        <w:rPr>
          <w:rFonts w:ascii="仿宋_GB2312" w:hAnsi="Calibri" w:eastAsia="仿宋_GB2312"/>
          <w:sz w:val="32"/>
          <w:szCs w:val="32"/>
        </w:rPr>
        <w:t>)</w:t>
      </w:r>
      <w:r>
        <w:rPr>
          <w:rFonts w:hint="eastAsia" w:ascii="仿宋_GB2312" w:hAnsi="Calibri" w:eastAsia="仿宋_GB2312"/>
          <w:sz w:val="32"/>
          <w:szCs w:val="32"/>
        </w:rPr>
        <w:t>协同开放新机制，加快开发区体制机制创新，强化开发区在产业集聚、服务升级、管理集约、跨区联动等制度创新，完善开发区协同开放的决策、协调、执行、监督和评价体系。探索推进国际投资合作新方式，探索准入前国民待遇加负面清单的外商投资管理制度。探索内外资产业合作新机制，鼓励外资投向“</w:t>
      </w:r>
      <w:r>
        <w:rPr>
          <w:rFonts w:ascii="仿宋_GB2312" w:hAnsi="Calibri" w:eastAsia="仿宋_GB2312"/>
          <w:sz w:val="32"/>
          <w:szCs w:val="32"/>
        </w:rPr>
        <w:t>8100</w:t>
      </w:r>
      <w:r>
        <w:rPr>
          <w:rFonts w:hint="eastAsia" w:ascii="仿宋_GB2312" w:hAnsi="Calibri" w:eastAsia="仿宋_GB2312"/>
          <w:sz w:val="32"/>
          <w:szCs w:val="32"/>
        </w:rPr>
        <w:t>”产业。探索质量效益导向的外贸促进新体系，从体制机制方面推动奉化特色产品、重点行业、知名展会做大做强，完善外贸综合服务体系。探索跨境电子商务、市场采购等新型贸易发展的体制机制。促进各类企业参与政府采购，坚持公开透明、公平竞争的原则，着力保障各类所有制企业参加政府采购活动，依法享有各项权利。用公平的监管维护市场公平秩序，完善双随机抽查工作机制和相关制度，确保监管公平公正、不留死角。</w:t>
      </w:r>
    </w:p>
    <w:p>
      <w:pPr>
        <w:spacing w:line="580" w:lineRule="exact"/>
        <w:ind w:firstLine="643" w:firstLineChars="200"/>
        <w:outlineLvl w:val="1"/>
        <w:rPr>
          <w:rFonts w:ascii="仿宋_GB2312" w:hAnsi="Calibri" w:eastAsia="仿宋_GB2312"/>
          <w:b/>
          <w:sz w:val="32"/>
          <w:szCs w:val="32"/>
        </w:rPr>
      </w:pPr>
      <w:r>
        <w:rPr>
          <w:rFonts w:hint="eastAsia" w:ascii="仿宋_GB2312" w:hAnsi="Calibri" w:eastAsia="仿宋_GB2312"/>
          <w:b/>
          <w:sz w:val="32"/>
          <w:szCs w:val="32"/>
        </w:rPr>
        <w:t>2.建立与自贸片区常态化联动机制</w:t>
      </w:r>
      <w:bookmarkEnd w:id="45"/>
    </w:p>
    <w:p>
      <w:pPr>
        <w:autoSpaceDE w:val="0"/>
        <w:autoSpaceDN w:val="0"/>
        <w:adjustRightInd w:val="0"/>
        <w:ind w:firstLine="640" w:firstLineChars="200"/>
        <w:rPr>
          <w:rFonts w:ascii="仿宋_GB2312" w:hAnsi="Calibri" w:eastAsia="仿宋_GB2312"/>
          <w:b/>
          <w:sz w:val="32"/>
          <w:szCs w:val="32"/>
        </w:rPr>
      </w:pPr>
      <w:r>
        <w:rPr>
          <w:rFonts w:hint="eastAsia" w:ascii="仿宋_GB2312" w:hAnsi="Calibri" w:eastAsia="仿宋_GB2312"/>
          <w:sz w:val="32"/>
          <w:szCs w:val="32"/>
        </w:rPr>
        <w:t>抢抓宁波自贸片区获批的重大战略机遇，积极融入自贸片区建设，</w:t>
      </w:r>
      <w:r>
        <w:rPr>
          <w:rFonts w:ascii="仿宋_GB2312" w:hAnsi="Calibri" w:eastAsia="仿宋_GB2312"/>
          <w:sz w:val="32"/>
          <w:szCs w:val="32"/>
        </w:rPr>
        <w:t>以经济联系为纽带，建立</w:t>
      </w:r>
      <w:r>
        <w:rPr>
          <w:rFonts w:hint="eastAsia" w:ascii="仿宋_GB2312" w:hAnsi="Calibri" w:eastAsia="仿宋_GB2312"/>
          <w:sz w:val="32"/>
          <w:szCs w:val="32"/>
        </w:rPr>
        <w:t>与自贸</w:t>
      </w:r>
      <w:r>
        <w:rPr>
          <w:rFonts w:ascii="仿宋_GB2312" w:hAnsi="Calibri" w:eastAsia="仿宋_GB2312"/>
          <w:sz w:val="32"/>
          <w:szCs w:val="32"/>
        </w:rPr>
        <w:t>片区统筹发展</w:t>
      </w:r>
      <w:r>
        <w:rPr>
          <w:rFonts w:hint="eastAsia" w:ascii="仿宋_GB2312" w:hAnsi="Calibri" w:eastAsia="仿宋_GB2312"/>
          <w:sz w:val="32"/>
          <w:szCs w:val="32"/>
        </w:rPr>
        <w:t>常态化</w:t>
      </w:r>
      <w:r>
        <w:rPr>
          <w:rFonts w:ascii="仿宋_GB2312" w:hAnsi="Calibri" w:eastAsia="仿宋_GB2312"/>
          <w:sz w:val="32"/>
          <w:szCs w:val="32"/>
        </w:rPr>
        <w:t>新机制，着眼开放新空间、挖掘开放新潜力。</w:t>
      </w:r>
      <w:r>
        <w:rPr>
          <w:rFonts w:hint="eastAsia" w:ascii="仿宋_GB2312" w:hAnsi="Calibri" w:eastAsia="仿宋_GB2312"/>
          <w:sz w:val="32"/>
          <w:szCs w:val="32"/>
        </w:rPr>
        <w:t>成立奉化专职自贸工作部门，探索区域联动机制，加强与宁波自贸片区联动发展，形成奉化与市级以上政府专门协调沟通机制，承担自贸推进落实的具体工作，通过制度创新，实现在平台、产业、项目、人才等方面的深度合作，推动产业优势互补、协调联动、错位发展，支持企业用足用好优惠原产地证书等相关政策。注重松岙和开发区与宁波自贸片区衔接，合理规划土地用途，探索“前店后库”展示交易模式，引导企业在自贸区内注册、产业在区外集聚，实现保税与非保税联动，仓储物流展示交易、订单销售联动发展。根据自贸片区不同功能及监管要求，配置餐饮、商业、文化、医疗、体育等公共服务设施。结合浙江自贸区宁波片区建设，加快自贸区先进经验和创新举措在奉化复制推广，并聚焦功能定位、立足自身情况，就跨境贸易开展、综合保税区发展、开发区转型升级等进行制度再创新。</w:t>
      </w:r>
      <w:r>
        <w:rPr>
          <w:rFonts w:ascii="仿宋_GB2312" w:hAnsi="Calibri" w:eastAsia="仿宋_GB2312"/>
          <w:sz w:val="32"/>
          <w:szCs w:val="32"/>
        </w:rPr>
        <w:t xml:space="preserve"> </w:t>
      </w:r>
    </w:p>
    <w:p>
      <w:pPr>
        <w:spacing w:line="580" w:lineRule="exact"/>
        <w:ind w:firstLine="643" w:firstLineChars="200"/>
        <w:outlineLvl w:val="1"/>
        <w:rPr>
          <w:rFonts w:ascii="仿宋_GB2312" w:hAnsi="Calibri" w:eastAsia="仿宋_GB2312"/>
          <w:b/>
          <w:sz w:val="32"/>
          <w:szCs w:val="32"/>
        </w:rPr>
      </w:pPr>
      <w:bookmarkStart w:id="46" w:name="_Toc65691844"/>
      <w:r>
        <w:rPr>
          <w:rFonts w:hint="eastAsia" w:ascii="仿宋_GB2312" w:hAnsi="Calibri" w:eastAsia="仿宋_GB2312"/>
          <w:b/>
          <w:sz w:val="32"/>
          <w:szCs w:val="32"/>
        </w:rPr>
        <w:t>3.对接“一枢纽、三中心、一示范区”</w:t>
      </w:r>
      <w:bookmarkEnd w:id="46"/>
    </w:p>
    <w:p>
      <w:pPr>
        <w:spacing w:line="580" w:lineRule="exact"/>
        <w:ind w:firstLine="640" w:firstLineChars="200"/>
        <w:rPr>
          <w:rFonts w:ascii="仿宋_GB2312" w:hAnsi="Calibri" w:eastAsia="仿宋_GB2312" w:cs="Times New Roman"/>
          <w:sz w:val="32"/>
          <w:szCs w:val="32"/>
        </w:rPr>
      </w:pPr>
      <w:r>
        <w:rPr>
          <w:rFonts w:eastAsia="仿宋_GB2312"/>
          <w:sz w:val="32"/>
          <w:szCs w:val="32"/>
        </w:rPr>
        <w:t>推动政策、产业、金融、平台等方面与</w:t>
      </w:r>
      <w:r>
        <w:rPr>
          <w:rFonts w:hint="eastAsia" w:eastAsia="仿宋_GB2312"/>
          <w:sz w:val="32"/>
          <w:szCs w:val="32"/>
        </w:rPr>
        <w:t>宁波自贸片区</w:t>
      </w:r>
      <w:r>
        <w:rPr>
          <w:rFonts w:eastAsia="仿宋_GB2312"/>
          <w:sz w:val="32"/>
          <w:szCs w:val="32"/>
        </w:rPr>
        <w:t>全方位对接，</w:t>
      </w:r>
      <w:r>
        <w:rPr>
          <w:rFonts w:ascii="仿宋_GB2312" w:hAnsi="Calibri" w:eastAsia="仿宋_GB2312"/>
          <w:sz w:val="32"/>
          <w:szCs w:val="32"/>
        </w:rPr>
        <w:t>力争</w:t>
      </w:r>
      <w:r>
        <w:rPr>
          <w:rFonts w:hint="eastAsia" w:ascii="仿宋_GB2312" w:hAnsi="Calibri" w:eastAsia="仿宋_GB2312"/>
          <w:sz w:val="32"/>
          <w:szCs w:val="32"/>
        </w:rPr>
        <w:t>奉化</w:t>
      </w:r>
      <w:r>
        <w:rPr>
          <w:rFonts w:ascii="仿宋_GB2312" w:hAnsi="Calibri" w:eastAsia="仿宋_GB2312"/>
          <w:sz w:val="32"/>
          <w:szCs w:val="32"/>
        </w:rPr>
        <w:t>成为</w:t>
      </w:r>
      <w:r>
        <w:rPr>
          <w:rFonts w:hint="eastAsia" w:ascii="仿宋_GB2312" w:hAnsi="Calibri" w:eastAsia="仿宋_GB2312"/>
          <w:sz w:val="32"/>
          <w:szCs w:val="32"/>
        </w:rPr>
        <w:t>宁波自贸片区</w:t>
      </w:r>
      <w:r>
        <w:rPr>
          <w:rFonts w:ascii="仿宋_GB2312" w:hAnsi="Calibri" w:eastAsia="仿宋_GB2312"/>
          <w:sz w:val="32"/>
          <w:szCs w:val="32"/>
        </w:rPr>
        <w:t>的优先拓展区和示范延伸区。</w:t>
      </w:r>
      <w:r>
        <w:rPr>
          <w:rFonts w:ascii="仿宋_GB2312" w:hAnsi="Calibri" w:eastAsia="仿宋_GB2312" w:cs="Times New Roman"/>
          <w:sz w:val="32"/>
          <w:szCs w:val="32"/>
        </w:rPr>
        <w:t>对接</w:t>
      </w:r>
      <w:r>
        <w:rPr>
          <w:rFonts w:hint="eastAsia" w:ascii="仿宋_GB2312" w:hAnsi="Calibri" w:eastAsia="仿宋_GB2312"/>
          <w:sz w:val="32"/>
          <w:szCs w:val="32"/>
        </w:rPr>
        <w:t>国际航运和物流枢纽建设，强化“枢纽+交易”，构建枢纽型平台体系，联合宁波栎社国际机场和北仑港，依托宁南贸易物流园区，构建集航空、高铁、轻轨、海运于一体的快速集疏运网络，重点吸引跨国公司地区总部和研发、销售、物流、结算、营运中心等功能性机构落户，形成高端型人流、物流、贸易流协同并进的格局；对接国际供应链创新中心推进，强化供应链新技术、贸易物流、现代金融等创新服务，大力发展数字贸易、服务贸易、离岸贸易等新型国际贸易，</w:t>
      </w:r>
      <w:r>
        <w:rPr>
          <w:rFonts w:ascii="仿宋_GB2312" w:hAnsi="Calibri" w:eastAsia="仿宋_GB2312" w:cs="Times New Roman"/>
          <w:sz w:val="32"/>
          <w:szCs w:val="32"/>
        </w:rPr>
        <w:t>在境外设立加工组装、分销、售后服务和维修基地</w:t>
      </w:r>
      <w:r>
        <w:rPr>
          <w:rFonts w:hint="eastAsia" w:ascii="仿宋_GB2312" w:hAnsi="Calibri" w:eastAsia="仿宋_GB2312" w:cs="Times New Roman"/>
          <w:sz w:val="32"/>
          <w:szCs w:val="32"/>
        </w:rPr>
        <w:t>，</w:t>
      </w:r>
      <w:r>
        <w:rPr>
          <w:rFonts w:hint="eastAsia" w:ascii="仿宋_GB2312" w:hAnsi="Calibri" w:eastAsia="仿宋_GB2312"/>
          <w:sz w:val="32"/>
          <w:szCs w:val="32"/>
        </w:rPr>
        <w:t>加快培育一批全球领先的平台型供应链企业，</w:t>
      </w:r>
      <w:r>
        <w:rPr>
          <w:rFonts w:ascii="仿宋_GB2312" w:hAnsi="Calibri" w:eastAsia="仿宋_GB2312" w:cs="Times New Roman"/>
          <w:sz w:val="32"/>
          <w:szCs w:val="32"/>
        </w:rPr>
        <w:t>不断完善供应链和创新链体系的全球布局</w:t>
      </w:r>
      <w:r>
        <w:rPr>
          <w:rFonts w:hint="eastAsia" w:ascii="仿宋_GB2312" w:hAnsi="Calibri" w:eastAsia="仿宋_GB2312" w:cs="Times New Roman"/>
          <w:sz w:val="32"/>
          <w:szCs w:val="32"/>
        </w:rPr>
        <w:t>；</w:t>
      </w:r>
      <w:r>
        <w:rPr>
          <w:rFonts w:hint="eastAsia" w:ascii="仿宋_GB2312" w:hAnsi="Calibri" w:eastAsia="仿宋_GB2312"/>
          <w:sz w:val="32"/>
          <w:szCs w:val="32"/>
        </w:rPr>
        <w:t>对接全球新材料科创中心创建，推进</w:t>
      </w:r>
      <w:r>
        <w:rPr>
          <w:rFonts w:ascii="仿宋_GB2312" w:hAnsi="Calibri" w:eastAsia="仿宋_GB2312" w:cs="Times New Roman"/>
          <w:sz w:val="32"/>
          <w:szCs w:val="32"/>
        </w:rPr>
        <w:t>围绕金属新材料、先进高分子材料、电子信息材料、磁性材料、新能源材料、海洋新材料、生物医用材料、新型膜材料等新材料产业</w:t>
      </w:r>
      <w:r>
        <w:rPr>
          <w:rFonts w:hint="eastAsia" w:ascii="仿宋_GB2312" w:hAnsi="Calibri" w:eastAsia="仿宋_GB2312"/>
          <w:sz w:val="32"/>
          <w:szCs w:val="32"/>
        </w:rPr>
        <w:t>通过全球协同研发和开放创新，加大创新资源集聚、科技成果转化、金融保险创新、知识产权保护等改革力度，</w:t>
      </w:r>
      <w:r>
        <w:rPr>
          <w:rFonts w:ascii="仿宋_GB2312" w:hAnsi="Calibri" w:eastAsia="仿宋_GB2312" w:cs="Times New Roman"/>
          <w:sz w:val="32"/>
          <w:szCs w:val="32"/>
        </w:rPr>
        <w:t>大力支持瑞凌节能环保、锋成先进能源材料、融光纳米等创新研究院和产业园建设</w:t>
      </w:r>
      <w:r>
        <w:rPr>
          <w:rFonts w:hint="eastAsia" w:ascii="仿宋_GB2312" w:hAnsi="Calibri" w:eastAsia="仿宋_GB2312"/>
          <w:sz w:val="32"/>
          <w:szCs w:val="32"/>
        </w:rPr>
        <w:t>，推动产业发展迈向全球价值链高端；对接国际油气资源配置中心打造，结合油气全产业链中的相关产业发展，积极推进生产和储运设备及部件制造、电子商务交易、</w:t>
      </w:r>
      <w:r>
        <w:rPr>
          <w:rFonts w:ascii="仿宋_GB2312" w:hAnsi="Calibri" w:eastAsia="仿宋_GB2312"/>
          <w:sz w:val="32"/>
          <w:szCs w:val="32"/>
        </w:rPr>
        <w:t>投资</w:t>
      </w:r>
      <w:r>
        <w:rPr>
          <w:rFonts w:hint="eastAsia" w:ascii="仿宋_GB2312" w:hAnsi="Calibri" w:eastAsia="仿宋_GB2312"/>
          <w:sz w:val="32"/>
          <w:szCs w:val="32"/>
        </w:rPr>
        <w:t>、金融，争取成为油气资源配置分中心；对接智能制造高质量发展示范区培育，围绕奉化“8100”产业集群发展，推动高端装备、电子信息、工业互联网、5G+等产业集群发展，着力培育</w:t>
      </w:r>
      <w:r>
        <w:rPr>
          <w:rFonts w:ascii="仿宋_GB2312" w:hAnsi="Calibri" w:eastAsia="仿宋_GB2312"/>
          <w:sz w:val="32"/>
          <w:szCs w:val="32"/>
        </w:rPr>
        <w:t>工业互联网、人工智能、区块链等</w:t>
      </w:r>
      <w:r>
        <w:rPr>
          <w:rFonts w:hint="eastAsia" w:ascii="仿宋_GB2312" w:hAnsi="Calibri" w:eastAsia="仿宋_GB2312"/>
          <w:sz w:val="32"/>
          <w:szCs w:val="32"/>
        </w:rPr>
        <w:t>数字经济产业，加快推进数字化赋能、数字产业化培育，促进制造业与服务业融合、实体经济与虚拟经济融合，推动产业发展能级跃上新台阶，</w:t>
      </w:r>
      <w:r>
        <w:rPr>
          <w:rFonts w:ascii="仿宋_GB2312" w:hAnsi="Calibri" w:eastAsia="仿宋_GB2312"/>
          <w:sz w:val="32"/>
          <w:szCs w:val="32"/>
        </w:rPr>
        <w:t>构建智能制造开放发展新格局</w:t>
      </w:r>
      <w:r>
        <w:rPr>
          <w:rFonts w:hint="eastAsia" w:ascii="仿宋_GB2312" w:hAnsi="Calibri" w:eastAsia="仿宋_GB2312"/>
          <w:sz w:val="32"/>
          <w:szCs w:val="32"/>
        </w:rPr>
        <w:t>。</w:t>
      </w:r>
    </w:p>
    <w:p>
      <w:pPr>
        <w:spacing w:line="580" w:lineRule="exact"/>
        <w:ind w:firstLine="643" w:firstLineChars="200"/>
        <w:outlineLvl w:val="1"/>
        <w:rPr>
          <w:rFonts w:ascii="方正楷体_GBK" w:eastAsia="方正楷体_GBK"/>
          <w:szCs w:val="32"/>
        </w:rPr>
      </w:pPr>
      <w:bookmarkStart w:id="47" w:name="_Toc65691845"/>
      <w:r>
        <w:rPr>
          <w:rFonts w:hint="eastAsia" w:ascii="楷体_GB2312" w:hAnsi="黑体" w:eastAsia="楷体_GB2312"/>
          <w:b/>
          <w:sz w:val="32"/>
          <w:szCs w:val="36"/>
        </w:rPr>
        <w:t>（二）提升对外贸易质量</w:t>
      </w:r>
      <w:bookmarkEnd w:id="47"/>
    </w:p>
    <w:p>
      <w:pPr>
        <w:spacing w:line="580" w:lineRule="exact"/>
        <w:ind w:firstLine="643" w:firstLineChars="200"/>
        <w:outlineLvl w:val="1"/>
        <w:rPr>
          <w:rFonts w:ascii="仿宋_GB2312" w:hAnsi="Calibri" w:eastAsia="仿宋_GB2312"/>
          <w:b/>
          <w:sz w:val="32"/>
          <w:szCs w:val="32"/>
        </w:rPr>
      </w:pPr>
      <w:bookmarkStart w:id="48" w:name="_Toc65691846"/>
      <w:r>
        <w:rPr>
          <w:rFonts w:ascii="仿宋_GB2312" w:hAnsi="Calibri" w:eastAsia="仿宋_GB2312"/>
          <w:b/>
          <w:sz w:val="32"/>
          <w:szCs w:val="32"/>
        </w:rPr>
        <w:t>1</w:t>
      </w:r>
      <w:r>
        <w:rPr>
          <w:rFonts w:hint="eastAsia" w:ascii="仿宋_GB2312" w:hAnsi="Calibri" w:eastAsia="仿宋_GB2312"/>
          <w:b/>
          <w:sz w:val="32"/>
          <w:szCs w:val="32"/>
        </w:rPr>
        <w:t>.培育对外贸易新型优势</w:t>
      </w:r>
      <w:bookmarkEnd w:id="48"/>
    </w:p>
    <w:p>
      <w:pPr>
        <w:pStyle w:val="24"/>
        <w:spacing w:beforeAutospacing="0" w:afterAutospacing="0"/>
        <w:ind w:firstLine="640" w:firstLineChars="200"/>
        <w:jc w:val="both"/>
        <w:rPr>
          <w:rFonts w:ascii="仿宋" w:hAnsi="仿宋" w:eastAsia="仿宋" w:cs="仿宋"/>
          <w:sz w:val="32"/>
          <w:szCs w:val="32"/>
        </w:rPr>
      </w:pPr>
      <w:r>
        <w:rPr>
          <w:rFonts w:ascii="仿宋_GB2312" w:hAnsi="Calibri" w:eastAsia="仿宋_GB2312"/>
          <w:sz w:val="32"/>
          <w:szCs w:val="32"/>
        </w:rPr>
        <w:t>大力打造优势</w:t>
      </w:r>
      <w:r>
        <w:rPr>
          <w:rFonts w:hint="eastAsia" w:ascii="仿宋_GB2312" w:hAnsi="Calibri" w:eastAsia="仿宋_GB2312"/>
          <w:sz w:val="32"/>
          <w:szCs w:val="32"/>
        </w:rPr>
        <w:t>出口</w:t>
      </w:r>
      <w:r>
        <w:rPr>
          <w:rFonts w:ascii="仿宋_GB2312" w:hAnsi="Calibri" w:eastAsia="仿宋_GB2312"/>
          <w:sz w:val="32"/>
          <w:szCs w:val="32"/>
        </w:rPr>
        <w:t>产业集群，鼓励有实力的大企业加快</w:t>
      </w:r>
      <w:r>
        <w:rPr>
          <w:rFonts w:hint="eastAsia" w:ascii="仿宋_GB2312" w:hAnsi="Calibri" w:eastAsia="仿宋_GB2312"/>
          <w:sz w:val="32"/>
          <w:szCs w:val="32"/>
        </w:rPr>
        <w:t>扩大</w:t>
      </w:r>
      <w:r>
        <w:rPr>
          <w:rFonts w:ascii="仿宋_GB2312" w:hAnsi="Calibri" w:eastAsia="仿宋_GB2312"/>
          <w:sz w:val="32"/>
          <w:szCs w:val="32"/>
        </w:rPr>
        <w:t>国际营销网络建设，</w:t>
      </w:r>
      <w:r>
        <w:rPr>
          <w:rFonts w:hint="eastAsia" w:ascii="仿宋_GB2312" w:hAnsi="Calibri" w:eastAsia="仿宋_GB2312"/>
          <w:sz w:val="32"/>
          <w:szCs w:val="32"/>
        </w:rPr>
        <w:t>大力开辟</w:t>
      </w:r>
      <w:r>
        <w:rPr>
          <w:rFonts w:ascii="仿宋_GB2312" w:hAnsi="Calibri" w:eastAsia="仿宋_GB2312"/>
          <w:sz w:val="32"/>
          <w:szCs w:val="32"/>
        </w:rPr>
        <w:t>RECP</w:t>
      </w:r>
      <w:r>
        <w:rPr>
          <w:rFonts w:hint="eastAsia" w:ascii="仿宋_GB2312" w:hAnsi="Calibri" w:eastAsia="仿宋_GB2312"/>
          <w:sz w:val="32"/>
          <w:szCs w:val="32"/>
        </w:rPr>
        <w:t>、中东欧、“一带一路”沿线等国家（地区）的外贸新战场，增大奉化产品在这些市场占有率和知名度。贯彻绿色发展理念，培育发展绿色经济，支持绿色产业出口，</w:t>
      </w:r>
      <w:r>
        <w:rPr>
          <w:rFonts w:ascii="仿宋_GB2312" w:hAnsi="Calibri" w:eastAsia="仿宋_GB2312"/>
          <w:sz w:val="32"/>
          <w:szCs w:val="32"/>
        </w:rPr>
        <w:t>支持成套设备“出海”，</w:t>
      </w:r>
      <w:r>
        <w:rPr>
          <w:rFonts w:hint="eastAsia" w:ascii="仿宋_GB2312" w:hAnsi="Calibri" w:eastAsia="仿宋_GB2312"/>
          <w:sz w:val="32"/>
          <w:szCs w:val="32"/>
        </w:rPr>
        <w:t>提升</w:t>
      </w:r>
      <w:r>
        <w:rPr>
          <w:rFonts w:hint="eastAsia" w:ascii="仿宋_GB2312" w:hAnsi="Calibri" w:eastAsia="仿宋_GB2312" w:cs="Times New Roman"/>
          <w:sz w:val="32"/>
          <w:szCs w:val="32"/>
        </w:rPr>
        <w:t>高</w:t>
      </w:r>
      <w:r>
        <w:rPr>
          <w:rFonts w:hint="eastAsia" w:ascii="仿宋_GB2312" w:hAnsi="Calibri" w:eastAsia="仿宋_GB2312"/>
          <w:sz w:val="32"/>
          <w:szCs w:val="32"/>
        </w:rPr>
        <w:t>端气动元件、先进机电设备等高新技术产品出口比重，</w:t>
      </w:r>
      <w:r>
        <w:rPr>
          <w:rFonts w:ascii="仿宋_GB2312" w:hAnsi="Calibri" w:eastAsia="仿宋_GB2312"/>
          <w:sz w:val="32"/>
          <w:szCs w:val="32"/>
        </w:rPr>
        <w:t>支持企业</w:t>
      </w:r>
      <w:r>
        <w:rPr>
          <w:rFonts w:hint="eastAsia" w:ascii="仿宋_GB2312" w:hAnsi="Calibri" w:eastAsia="仿宋_GB2312"/>
          <w:sz w:val="32"/>
          <w:szCs w:val="32"/>
        </w:rPr>
        <w:t>参与中东欧国家博览会、进博会，中国国际服务贸易交易会等一系列展会活动，推动外</w:t>
      </w:r>
      <w:r>
        <w:rPr>
          <w:rFonts w:hint="eastAsia" w:ascii="仿宋" w:hAnsi="仿宋" w:eastAsia="仿宋" w:cs="仿宋"/>
          <w:sz w:val="32"/>
          <w:szCs w:val="32"/>
        </w:rPr>
        <w:t>贸出口向国别多元化战略转型</w:t>
      </w:r>
      <w:r>
        <w:rPr>
          <w:rFonts w:ascii="仿宋_GB2312" w:hAnsi="Calibri" w:eastAsia="仿宋_GB2312"/>
          <w:sz w:val="32"/>
          <w:szCs w:val="32"/>
        </w:rPr>
        <w:t>。</w:t>
      </w:r>
      <w:r>
        <w:rPr>
          <w:rFonts w:hint="eastAsia" w:ascii="仿宋_GB2312" w:hAnsi="Calibri" w:eastAsia="仿宋_GB2312"/>
          <w:sz w:val="32"/>
          <w:szCs w:val="32"/>
        </w:rPr>
        <w:t>培育小微外贸“小巨人”企业，为开放型经济持续发展储备力量。</w:t>
      </w:r>
      <w:r>
        <w:rPr>
          <w:rFonts w:hint="eastAsia" w:ascii="仿宋_GB2312" w:hAnsi="Calibri" w:eastAsia="仿宋_GB2312" w:cs="Times New Roman"/>
          <w:sz w:val="32"/>
          <w:szCs w:val="32"/>
        </w:rPr>
        <w:t>大力发展进口贸易，</w:t>
      </w:r>
      <w:r>
        <w:rPr>
          <w:rFonts w:ascii="仿宋_GB2312" w:hAnsi="Calibri" w:eastAsia="仿宋_GB2312"/>
          <w:sz w:val="32"/>
          <w:szCs w:val="32"/>
        </w:rPr>
        <w:t>加大对国际先进设备及重要生产资源的进口力度，积极发展进出口商品展示、分拨和物流中心，培育一批市场辐射力强的进口交易中心。</w:t>
      </w:r>
      <w:r>
        <w:rPr>
          <w:rFonts w:hint="eastAsia" w:ascii="仿宋_GB2312" w:hAnsi="Calibri" w:eastAsia="仿宋_GB2312"/>
          <w:sz w:val="32"/>
          <w:szCs w:val="32"/>
        </w:rPr>
        <w:t>鼓励企业代理进出口业务，依托</w:t>
      </w:r>
      <w:r>
        <w:rPr>
          <w:rFonts w:eastAsia="仿宋_GB2312"/>
          <w:bCs/>
          <w:color w:val="000000"/>
          <w:sz w:val="32"/>
          <w:szCs w:val="32"/>
        </w:rPr>
        <w:t>跨境电商综合服务平台</w:t>
      </w:r>
      <w:r>
        <w:rPr>
          <w:rFonts w:hint="eastAsia" w:eastAsia="仿宋_GB2312"/>
          <w:bCs/>
          <w:color w:val="000000"/>
          <w:sz w:val="32"/>
          <w:szCs w:val="32"/>
        </w:rPr>
        <w:t>，提供全球开店、运营孵化、人才支撑、供应链、数字营销、政府合规等全覆盖一站式综合服务，打通国内外多个物流平台，提供定制化物流解决方案，实时把控各类风险点，与银行点对点信息交互，利用大数据平台监控和防护机制，保障客户资金安全。</w:t>
      </w:r>
    </w:p>
    <w:p>
      <w:pPr>
        <w:spacing w:line="580" w:lineRule="exact"/>
        <w:ind w:firstLine="643" w:firstLineChars="200"/>
        <w:outlineLvl w:val="1"/>
        <w:rPr>
          <w:rFonts w:ascii="仿宋" w:hAnsi="仿宋" w:eastAsia="仿宋" w:cs="仿宋"/>
          <w:b/>
          <w:bCs/>
          <w:sz w:val="32"/>
          <w:szCs w:val="32"/>
        </w:rPr>
      </w:pPr>
      <w:bookmarkStart w:id="49" w:name="_Toc65691847"/>
      <w:r>
        <w:rPr>
          <w:rFonts w:hint="eastAsia" w:ascii="仿宋_GB2312" w:hAnsi="Calibri" w:eastAsia="仿宋_GB2312"/>
          <w:b/>
          <w:sz w:val="32"/>
          <w:szCs w:val="32"/>
        </w:rPr>
        <w:t>2.推动外向实体转型发展</w:t>
      </w:r>
      <w:bookmarkEnd w:id="49"/>
    </w:p>
    <w:p>
      <w:pPr>
        <w:spacing w:line="580" w:lineRule="exact"/>
        <w:ind w:firstLine="640" w:firstLineChars="200"/>
        <w:rPr>
          <w:rFonts w:ascii="仿宋_GB2312" w:hAnsi="Calibri" w:eastAsia="仿宋_GB2312"/>
          <w:sz w:val="32"/>
          <w:szCs w:val="32"/>
        </w:rPr>
      </w:pPr>
      <w:r>
        <w:rPr>
          <w:rFonts w:hint="eastAsia" w:ascii="仿宋_GB2312" w:hAnsi="Calibri" w:eastAsia="仿宋_GB2312" w:cs="宋体"/>
          <w:kern w:val="0"/>
          <w:sz w:val="32"/>
          <w:szCs w:val="32"/>
        </w:rPr>
        <w:t>积极培育区域外贸龙头企业，开展外贸企业挖潜增效，对接长三角优质创新资源，共建产业创新平台，开展重大技术联合研发。</w:t>
      </w:r>
      <w:r>
        <w:rPr>
          <w:rFonts w:ascii="仿宋_GB2312" w:hAnsi="Calibri" w:eastAsia="仿宋_GB2312" w:cs="宋体"/>
          <w:kern w:val="0"/>
          <w:sz w:val="32"/>
          <w:szCs w:val="32"/>
        </w:rPr>
        <w:t xml:space="preserve"> </w:t>
      </w:r>
      <w:r>
        <w:rPr>
          <w:rFonts w:hint="eastAsia" w:ascii="仿宋_GB2312" w:hAnsi="Calibri" w:eastAsia="仿宋_GB2312" w:cs="宋体"/>
          <w:kern w:val="0"/>
          <w:sz w:val="32"/>
          <w:szCs w:val="32"/>
        </w:rPr>
        <w:t>鼓励企业引进和应用互联网、物联网、跨境电商、5G技术应用、大数据</w:t>
      </w:r>
      <w:r>
        <w:rPr>
          <w:rFonts w:hint="eastAsia" w:ascii="仿宋_GB2312" w:hAnsi="Calibri" w:eastAsia="仿宋_GB2312" w:cs="Times New Roman"/>
          <w:sz w:val="32"/>
          <w:szCs w:val="32"/>
        </w:rPr>
        <w:t>、云计算等新技术，延伸外贸服务新领域，探索转</w:t>
      </w:r>
      <w:r>
        <w:rPr>
          <w:rFonts w:hint="eastAsia" w:ascii="仿宋_GB2312" w:hAnsi="Calibri" w:eastAsia="仿宋_GB2312"/>
          <w:sz w:val="32"/>
          <w:szCs w:val="32"/>
        </w:rPr>
        <w:t>型发展模式。抢抓优势产业跨越发展新机遇，</w:t>
      </w:r>
      <w:r>
        <w:rPr>
          <w:rFonts w:hint="eastAsia" w:ascii="仿宋_GB2312" w:hAnsi="Calibri" w:eastAsia="仿宋_GB2312" w:cs="Times New Roman"/>
          <w:sz w:val="32"/>
          <w:szCs w:val="32"/>
        </w:rPr>
        <w:t>围绕汽配、厨卫家电、生命健康、高端基础件（气动元件、轴类、蓄能器、机械密封件、紧固件等）等优势产业，强化创新支撑、鼓励自动化改造、引入现代企业管理制度，实现秉航科技等企业从“出口加工型”向“技术密集型”转变，支持符合条件的外贸企业申报认定高新技术企业，支持高新技术企业和科技型中小企业申请A</w:t>
      </w:r>
      <w:r>
        <w:rPr>
          <w:rFonts w:ascii="仿宋_GB2312" w:hAnsi="Calibri" w:eastAsia="仿宋_GB2312" w:cs="Times New Roman"/>
          <w:sz w:val="32"/>
          <w:szCs w:val="32"/>
        </w:rPr>
        <w:t>EO</w:t>
      </w:r>
      <w:r>
        <w:rPr>
          <w:rFonts w:hint="eastAsia" w:ascii="仿宋_GB2312" w:hAnsi="Calibri" w:eastAsia="仿宋_GB2312" w:cs="Times New Roman"/>
          <w:sz w:val="32"/>
          <w:szCs w:val="32"/>
        </w:rPr>
        <w:t>（经认证的经营者）认证。</w:t>
      </w:r>
      <w:r>
        <w:rPr>
          <w:rFonts w:ascii="仿宋_GB2312" w:hAnsi="Calibri" w:eastAsia="仿宋_GB2312"/>
          <w:sz w:val="32"/>
          <w:szCs w:val="32"/>
        </w:rPr>
        <w:t>推动加工贸易转型升级，引导加工贸易向设计、研发、服务等产业链高附加值环节延伸。</w:t>
      </w:r>
      <w:r>
        <w:rPr>
          <w:rFonts w:hint="eastAsia" w:ascii="仿宋_GB2312" w:hAnsi="Calibri" w:eastAsia="仿宋_GB2312"/>
          <w:sz w:val="32"/>
          <w:szCs w:val="32"/>
        </w:rPr>
        <w:t>引导传统外贸流通企业、工贸一体企业创新转型，主业转型和延伸至跨境电商、数字贸易、服务贸易、服务外包和大宗商品物资交易领域。提升外向型重点企业外贸业务管理水平，大力引进国际化外贸经营人才，组建专业外贸管理团队，拓展新领域、培育新市场、探索新模式。</w:t>
      </w:r>
    </w:p>
    <w:p>
      <w:pPr>
        <w:spacing w:line="580" w:lineRule="exact"/>
        <w:ind w:firstLine="643" w:firstLineChars="200"/>
        <w:outlineLvl w:val="1"/>
        <w:rPr>
          <w:rFonts w:ascii="仿宋_GB2312" w:hAnsi="Calibri" w:eastAsia="仿宋_GB2312"/>
          <w:b/>
          <w:sz w:val="32"/>
          <w:szCs w:val="32"/>
        </w:rPr>
      </w:pPr>
      <w:bookmarkStart w:id="50" w:name="_Toc65691848"/>
      <w:r>
        <w:rPr>
          <w:rFonts w:ascii="仿宋_GB2312" w:hAnsi="Calibri" w:eastAsia="仿宋_GB2312"/>
          <w:b/>
          <w:sz w:val="32"/>
          <w:szCs w:val="32"/>
        </w:rPr>
        <w:t>3</w:t>
      </w:r>
      <w:r>
        <w:rPr>
          <w:rFonts w:hint="eastAsia" w:ascii="仿宋_GB2312" w:hAnsi="Calibri" w:eastAsia="仿宋_GB2312"/>
          <w:b/>
          <w:sz w:val="32"/>
          <w:szCs w:val="32"/>
        </w:rPr>
        <w:t>.发展</w:t>
      </w:r>
      <w:r>
        <w:rPr>
          <w:rFonts w:ascii="仿宋_GB2312" w:hAnsi="Calibri" w:eastAsia="仿宋_GB2312"/>
          <w:b/>
          <w:sz w:val="32"/>
          <w:szCs w:val="32"/>
        </w:rPr>
        <w:t>外贸</w:t>
      </w:r>
      <w:r>
        <w:rPr>
          <w:rFonts w:hint="eastAsia" w:ascii="仿宋_GB2312" w:hAnsi="Calibri" w:eastAsia="仿宋_GB2312"/>
          <w:b/>
          <w:sz w:val="32"/>
          <w:szCs w:val="32"/>
        </w:rPr>
        <w:t>服务</w:t>
      </w:r>
      <w:r>
        <w:rPr>
          <w:rFonts w:ascii="仿宋_GB2312" w:hAnsi="Calibri" w:eastAsia="仿宋_GB2312"/>
          <w:b/>
          <w:sz w:val="32"/>
          <w:szCs w:val="32"/>
        </w:rPr>
        <w:t>平台功能</w:t>
      </w:r>
      <w:bookmarkEnd w:id="5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鼓励发展外贸企业信息、交易、金融、通关、物流、结汇及退税等进出口所需的环节一站式综合服务，推动宁南贸易物流区争创保税物流中心。</w:t>
      </w:r>
      <w:r>
        <w:rPr>
          <w:rFonts w:hint="eastAsia" w:ascii="仿宋_GB2312" w:hAnsi="Calibri" w:eastAsia="仿宋_GB2312" w:cs="Times New Roman"/>
          <w:sz w:val="32"/>
          <w:szCs w:val="32"/>
        </w:rPr>
        <w:t>积极招引外综服务平台落地，探索建立外贸综合服务企业行业服务标准，推动信息共享和联合监管，</w:t>
      </w:r>
      <w:r>
        <w:rPr>
          <w:rFonts w:hint="eastAsia" w:ascii="仿宋_GB2312" w:hAnsi="Calibri" w:eastAsia="仿宋_GB2312"/>
          <w:sz w:val="32"/>
          <w:szCs w:val="32"/>
        </w:rPr>
        <w:t>引导支持</w:t>
      </w:r>
      <w:r>
        <w:rPr>
          <w:rFonts w:hint="eastAsia" w:ascii="仿宋_GB2312" w:hAnsi="Calibri" w:eastAsia="仿宋_GB2312" w:cs="Times New Roman"/>
          <w:sz w:val="32"/>
          <w:szCs w:val="32"/>
        </w:rPr>
        <w:t>文洲国际等</w:t>
      </w:r>
      <w:r>
        <w:rPr>
          <w:rFonts w:hint="eastAsia" w:ascii="仿宋_GB2312" w:hAnsi="Calibri" w:eastAsia="仿宋_GB2312"/>
          <w:sz w:val="32"/>
          <w:szCs w:val="32"/>
        </w:rPr>
        <w:t>外贸龙头企业加快向平台型企业发展，依托秋南家</w:t>
      </w:r>
      <w:r>
        <w:rPr>
          <w:rFonts w:ascii="仿宋_GB2312" w:hAnsi="Calibri" w:eastAsia="仿宋_GB2312"/>
          <w:sz w:val="32"/>
          <w:szCs w:val="32"/>
        </w:rPr>
        <w:t>等外贸综合服务平台建设，</w:t>
      </w:r>
      <w:r>
        <w:rPr>
          <w:rFonts w:hint="eastAsia" w:ascii="仿宋_GB2312" w:hAnsi="Calibri" w:eastAsia="仿宋_GB2312"/>
          <w:sz w:val="32"/>
          <w:szCs w:val="32"/>
        </w:rPr>
        <w:t>探索聚焦研发、展示交流、产品交易、共享服务，利用大数据技术提前解读产品的市场状况、基础价值、知识产权等主要信息，创新工坊提供最优化的产品开发倾向性报告，从产品设计、使用价值、制造成本等方面提出生产方案并制图出样，由共享车间进行小规模的加工试制；探索集国际化设计、本地化生产、国际化销售等多元板块为一体的综合性产品开发运营模式；打造全息云外贸、全球产品销售合伙人计划、短视频推广中心、爆款研究院、商超选品站，进行国内外市场布局和销售</w:t>
      </w:r>
      <w:r>
        <w:rPr>
          <w:rFonts w:ascii="仿宋_GB2312" w:hAnsi="Calibri" w:eastAsia="仿宋_GB2312"/>
          <w:sz w:val="32"/>
          <w:szCs w:val="32"/>
        </w:rPr>
        <w:t>，积极培育外贸新增长点</w:t>
      </w:r>
      <w:r>
        <w:rPr>
          <w:rFonts w:hint="eastAsia" w:ascii="仿宋_GB2312" w:hAnsi="Calibri" w:eastAsia="仿宋_GB2312"/>
          <w:sz w:val="32"/>
          <w:szCs w:val="32"/>
        </w:rPr>
        <w:t>，</w:t>
      </w:r>
      <w:r>
        <w:rPr>
          <w:rFonts w:ascii="仿宋_GB2312" w:hAnsi="Calibri" w:eastAsia="仿宋_GB2312"/>
          <w:sz w:val="32"/>
          <w:szCs w:val="32"/>
        </w:rPr>
        <w:t>确保平台水平保持全省领先。</w:t>
      </w:r>
    </w:p>
    <w:p>
      <w:pPr>
        <w:spacing w:line="580" w:lineRule="exact"/>
        <w:ind w:firstLine="643" w:firstLineChars="200"/>
        <w:outlineLvl w:val="1"/>
        <w:rPr>
          <w:rFonts w:ascii="宋体" w:hAnsi="宋体" w:cs="宋体"/>
          <w:color w:val="FF0000"/>
          <w:sz w:val="36"/>
          <w:szCs w:val="36"/>
          <w:shd w:val="clear" w:color="auto" w:fill="FFFFFF"/>
        </w:rPr>
      </w:pPr>
      <w:bookmarkStart w:id="51" w:name="_Toc65691849"/>
      <w:r>
        <w:rPr>
          <w:rFonts w:hint="eastAsia" w:ascii="楷体_GB2312" w:hAnsi="黑体" w:eastAsia="楷体_GB2312"/>
          <w:b/>
          <w:sz w:val="32"/>
          <w:szCs w:val="36"/>
        </w:rPr>
        <w:t>（三）提高利用外资水平</w:t>
      </w:r>
      <w:bookmarkEnd w:id="51"/>
    </w:p>
    <w:p>
      <w:pPr>
        <w:spacing w:line="580" w:lineRule="exact"/>
        <w:ind w:firstLine="643" w:firstLineChars="200"/>
        <w:outlineLvl w:val="1"/>
        <w:rPr>
          <w:rFonts w:ascii="微软雅黑" w:hAnsi="微软雅黑" w:eastAsia="微软雅黑"/>
          <w:color w:val="333333"/>
          <w:sz w:val="27"/>
          <w:szCs w:val="27"/>
          <w:shd w:val="clear" w:color="auto" w:fill="FFFFFF"/>
        </w:rPr>
      </w:pPr>
      <w:bookmarkStart w:id="52" w:name="_Toc65691850"/>
      <w:r>
        <w:rPr>
          <w:rFonts w:hint="eastAsia" w:ascii="仿宋_GB2312" w:hAnsi="Calibri" w:eastAsia="仿宋_GB2312"/>
          <w:b/>
          <w:sz w:val="32"/>
          <w:szCs w:val="32"/>
        </w:rPr>
        <w:t>1.突出重点领域利用外资</w:t>
      </w:r>
      <w:bookmarkEnd w:id="5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主动对接我区“</w:t>
      </w:r>
      <w:r>
        <w:rPr>
          <w:rFonts w:ascii="仿宋_GB2312" w:hAnsi="Calibri" w:eastAsia="仿宋_GB2312"/>
          <w:sz w:val="32"/>
          <w:szCs w:val="32"/>
        </w:rPr>
        <w:t>8100</w:t>
      </w:r>
      <w:r>
        <w:rPr>
          <w:rFonts w:hint="eastAsia" w:ascii="仿宋_GB2312" w:hAnsi="Calibri" w:eastAsia="仿宋_GB2312"/>
          <w:sz w:val="32"/>
          <w:szCs w:val="32"/>
        </w:rPr>
        <w:t>”产业集群转型升级，积极引导外资投向</w:t>
      </w:r>
      <w:r>
        <w:rPr>
          <w:rFonts w:ascii="仿宋_GB2312" w:hAnsi="Calibri" w:eastAsia="仿宋_GB2312"/>
          <w:sz w:val="32"/>
          <w:szCs w:val="32"/>
        </w:rPr>
        <w:t>汽车零部件、生命（医疗）健康、关键基础件（气动）、电子信息、新材料、新能源（节能环保）、智能家电、时尚服装</w:t>
      </w:r>
      <w:r>
        <w:rPr>
          <w:rFonts w:hint="eastAsia" w:ascii="仿宋_GB2312" w:hAnsi="Calibri" w:eastAsia="仿宋_GB2312"/>
          <w:sz w:val="32"/>
          <w:szCs w:val="32"/>
        </w:rPr>
        <w:t>等领域，推动战略性新兴产业发展。鼓励外商投资</w:t>
      </w:r>
      <w:r>
        <w:rPr>
          <w:rFonts w:ascii="仿宋_GB2312" w:hAnsi="Calibri" w:eastAsia="仿宋_GB2312"/>
          <w:sz w:val="32"/>
          <w:szCs w:val="32"/>
        </w:rPr>
        <w:t>5G+、人工智能、工业互联网、区块链、大数据和云计算、空天信息等数字经济</w:t>
      </w:r>
      <w:r>
        <w:rPr>
          <w:rFonts w:hint="eastAsia" w:ascii="仿宋_GB2312" w:hAnsi="Calibri" w:eastAsia="仿宋_GB2312"/>
          <w:sz w:val="32"/>
          <w:szCs w:val="32"/>
        </w:rPr>
        <w:t>产业领域，支持利用外资采用新技术、新工艺、新流程推进传统制造业自动化智能化升级，引领智能制造产业链升级，实现生产方式向柔性、智能、精细化转变。积极推进外商投资科技研发、信息技术、金融服务、现代物流、文化创意、节能环保、服务外包、会展与商务咨询等生产性服务业，抓住国家放宽银行、保险、证券、教育、文化、养老、交通、电信等领域利用外资股比限制和准入门槛的机遇，加大服务业特别是现代服务业利用外资力度，提升我区服务业发展水平和投资比重。</w:t>
      </w:r>
    </w:p>
    <w:p>
      <w:pPr>
        <w:spacing w:line="580" w:lineRule="exact"/>
        <w:ind w:firstLine="643" w:firstLineChars="200"/>
        <w:outlineLvl w:val="1"/>
        <w:rPr>
          <w:rFonts w:ascii="仿宋_GB2312" w:hAnsi="Calibri" w:eastAsia="仿宋_GB2312"/>
          <w:b/>
          <w:sz w:val="32"/>
          <w:szCs w:val="32"/>
        </w:rPr>
      </w:pPr>
      <w:bookmarkStart w:id="53" w:name="_Toc65691851"/>
      <w:r>
        <w:rPr>
          <w:rFonts w:hint="eastAsia" w:ascii="仿宋_GB2312" w:hAnsi="Calibri" w:eastAsia="仿宋_GB2312"/>
          <w:b/>
          <w:sz w:val="32"/>
          <w:szCs w:val="32"/>
        </w:rPr>
        <w:t>2.大力实施对外招商引资</w:t>
      </w:r>
      <w:bookmarkEnd w:id="53"/>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增量为目标，狠抓招商引资，通过新项目提升外贸进出口总量，重点支持外贸综合平台服务商、专业机构运营商、数字化贸易“小而美”企业、服务贸易“专而新”项目在我区落户运营，依托新区建设“磁场宏吸”招商效应力促外贸大项目、好项目密集落户规划对应区块。健全招商项目签订、落地、开工“全链条”服务和考核机制，强化优质项目用地保障，加大全区土地、楼宇、厂房和资金统筹力度。大力实施外贸业务回归和奉商回归工作，重点招引奉籍人士在区外开展进出口业务的企业，形成外贸创业块状集聚。</w:t>
      </w:r>
      <w:r>
        <w:rPr>
          <w:rFonts w:ascii="仿宋_GB2312" w:hAnsi="Calibri" w:eastAsia="仿宋_GB2312"/>
          <w:sz w:val="32"/>
          <w:szCs w:val="32"/>
        </w:rPr>
        <w:t>加大力度吸引跨国公司设立地区总部和研发中心、营销中心、采购中心、物流中心等功能性机构，</w:t>
      </w:r>
      <w:r>
        <w:rPr>
          <w:rFonts w:hint="eastAsia" w:ascii="仿宋_GB2312" w:hAnsi="Calibri" w:eastAsia="仿宋_GB2312"/>
          <w:sz w:val="32"/>
          <w:szCs w:val="32"/>
        </w:rPr>
        <w:t>提高外资溢出效益。</w:t>
      </w:r>
      <w:r>
        <w:rPr>
          <w:rFonts w:ascii="仿宋_GB2312" w:hAnsi="Calibri" w:eastAsia="仿宋_GB2312"/>
          <w:sz w:val="32"/>
          <w:szCs w:val="32"/>
        </w:rPr>
        <w:t>鼓励外资通过合资、参股、并购等方式参与</w:t>
      </w:r>
      <w:r>
        <w:rPr>
          <w:rFonts w:hint="eastAsia" w:ascii="仿宋_GB2312" w:hAnsi="Calibri" w:eastAsia="仿宋_GB2312"/>
          <w:sz w:val="32"/>
          <w:szCs w:val="32"/>
        </w:rPr>
        <w:t>我区</w:t>
      </w:r>
      <w:r>
        <w:rPr>
          <w:rFonts w:ascii="仿宋_GB2312" w:hAnsi="Calibri" w:eastAsia="仿宋_GB2312"/>
          <w:sz w:val="32"/>
          <w:szCs w:val="32"/>
        </w:rPr>
        <w:t>企业改造和兼并重组，推进外商投资便利化，积极探索对外商投资实行准入前国民待遇加负面清单管理模式，打造与国际接轨的营商环境。</w:t>
      </w:r>
    </w:p>
    <w:p>
      <w:pPr>
        <w:spacing w:line="580" w:lineRule="exact"/>
        <w:ind w:firstLine="643" w:firstLineChars="200"/>
        <w:outlineLvl w:val="1"/>
        <w:rPr>
          <w:rFonts w:ascii="仿宋_GB2312" w:hAnsi="Calibri" w:eastAsia="仿宋_GB2312"/>
          <w:b/>
          <w:sz w:val="32"/>
          <w:szCs w:val="32"/>
        </w:rPr>
      </w:pPr>
      <w:bookmarkStart w:id="54" w:name="_Toc65691852"/>
      <w:r>
        <w:rPr>
          <w:rFonts w:hint="eastAsia" w:ascii="仿宋_GB2312" w:hAnsi="Calibri" w:eastAsia="仿宋_GB2312"/>
          <w:b/>
          <w:sz w:val="32"/>
          <w:szCs w:val="32"/>
        </w:rPr>
        <w:t>3.积极拓宽招商引资区域</w:t>
      </w:r>
      <w:bookmarkEnd w:id="54"/>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以欧美、日韩等先进经济体以及“一带一路”沿线国家和地区为重点，抓住RCEP（区域全面经济伙伴关系协定）和中欧投资协定签订的历史性机遇，</w:t>
      </w:r>
      <w:r>
        <w:rPr>
          <w:rFonts w:hint="eastAsia" w:ascii="仿宋_GB2312" w:hAnsi="Calibri" w:eastAsia="仿宋_GB2312"/>
          <w:snapToGrid w:val="0"/>
          <w:sz w:val="32"/>
          <w:szCs w:val="32"/>
        </w:rPr>
        <w:t>深度参与浙江自贸区宁波片区、中国</w:t>
      </w:r>
      <w:r>
        <w:rPr>
          <w:rFonts w:ascii="仿宋_GB2312" w:hAnsi="Calibri" w:eastAsia="仿宋_GB2312"/>
          <w:snapToGrid w:val="0"/>
          <w:sz w:val="32"/>
          <w:szCs w:val="32"/>
        </w:rPr>
        <w:t>—</w:t>
      </w:r>
      <w:r>
        <w:rPr>
          <w:rFonts w:hint="eastAsia" w:ascii="仿宋_GB2312" w:hAnsi="Calibri" w:eastAsia="仿宋_GB2312"/>
          <w:snapToGrid w:val="0"/>
          <w:sz w:val="32"/>
          <w:szCs w:val="32"/>
        </w:rPr>
        <w:t>中东欧经贸合作示范区建设，争取更多国际合作的高能级项目落户奉化。落实“东引台资”战略，积极做好对台招商及重大项目的推进服务工作。</w:t>
      </w:r>
      <w:r>
        <w:rPr>
          <w:rFonts w:hint="eastAsia" w:ascii="仿宋_GB2312" w:hAnsi="Calibri" w:eastAsia="仿宋_GB2312"/>
          <w:sz w:val="32"/>
          <w:szCs w:val="32"/>
        </w:rPr>
        <w:t>加强区域合作，深度融入长三角一体化发展，优化北上杭深及东北等“科创飞地”，推进上海科创产业转移转化园等项目建设。实现招商资源要素“一张图”，拓展驻点布局，深化飞地招商模式，加快形成飞地企业从孵化到落户的闭环体系，拓展设立西安、成都、武汉等异地孵化器，健全“项目洽谈-协议签订-落地开工-投产达效”全链条服务和考核机制，全力保障重大招商引资项目招得进来、落得了地。</w:t>
      </w:r>
    </w:p>
    <w:p>
      <w:pPr>
        <w:spacing w:line="580" w:lineRule="exact"/>
        <w:ind w:firstLine="643" w:firstLineChars="200"/>
        <w:outlineLvl w:val="1"/>
        <w:rPr>
          <w:rFonts w:ascii="微软雅黑" w:hAnsi="微软雅黑" w:eastAsia="微软雅黑"/>
          <w:color w:val="333333"/>
          <w:sz w:val="27"/>
          <w:szCs w:val="27"/>
          <w:shd w:val="clear" w:color="auto" w:fill="FFFFFF"/>
        </w:rPr>
      </w:pPr>
      <w:bookmarkStart w:id="55" w:name="_Toc65691853"/>
      <w:r>
        <w:rPr>
          <w:rFonts w:hint="eastAsia" w:ascii="仿宋_GB2312" w:hAnsi="Calibri" w:eastAsia="仿宋_GB2312"/>
          <w:b/>
          <w:sz w:val="32"/>
          <w:szCs w:val="32"/>
        </w:rPr>
        <w:t>4.强化多元招商引资方式</w:t>
      </w:r>
      <w:bookmarkEnd w:id="55"/>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深化产业链招商，重点</w:t>
      </w:r>
      <w:r>
        <w:rPr>
          <w:rFonts w:ascii="仿宋_GB2312" w:hAnsi="Calibri" w:eastAsia="仿宋_GB2312"/>
          <w:sz w:val="32"/>
          <w:szCs w:val="32"/>
        </w:rPr>
        <w:t>针对</w:t>
      </w:r>
      <w:r>
        <w:rPr>
          <w:rFonts w:hint="eastAsia" w:ascii="仿宋_GB2312" w:hAnsi="Calibri" w:eastAsia="仿宋_GB2312"/>
          <w:sz w:val="32"/>
          <w:szCs w:val="32"/>
        </w:rPr>
        <w:t>我区“4+</w:t>
      </w:r>
      <w:r>
        <w:rPr>
          <w:rFonts w:ascii="仿宋_GB2312" w:hAnsi="Calibri" w:eastAsia="仿宋_GB2312"/>
          <w:sz w:val="32"/>
          <w:szCs w:val="32"/>
        </w:rPr>
        <w:t>X</w:t>
      </w:r>
      <w:r>
        <w:rPr>
          <w:rFonts w:hint="eastAsia" w:ascii="仿宋_GB2312" w:hAnsi="Calibri" w:eastAsia="仿宋_GB2312"/>
          <w:sz w:val="32"/>
          <w:szCs w:val="32"/>
        </w:rPr>
        <w:t>”产业链中</w:t>
      </w:r>
      <w:r>
        <w:rPr>
          <w:rFonts w:ascii="仿宋_GB2312" w:hAnsi="Calibri" w:eastAsia="仿宋_GB2312"/>
          <w:sz w:val="32"/>
          <w:szCs w:val="32"/>
        </w:rPr>
        <w:t>关键环节、缺失环节，</w:t>
      </w:r>
      <w:r>
        <w:rPr>
          <w:rFonts w:hint="eastAsia" w:ascii="仿宋_GB2312" w:hAnsi="Calibri" w:eastAsia="仿宋_GB2312"/>
          <w:sz w:val="32"/>
          <w:szCs w:val="32"/>
        </w:rPr>
        <w:t>精准开展对外招商，促进产业链填平补齐，产业做大做强。推进委托招商，全面加强与跨国公司驻华机构、央企总部、知名中介机构和各国（地区）商会的联系、交流和对接，开展针对性强的招商项目推介，着力引进世界500强、知名跨国公司和科技创新型企业，进一步拓展引进境外战略投资者、境外上市返程投资、并购重组等新渠道。物色全球投资基金、会计师事务所、高等院校、研究和咨询机构等重点产业服务机构和重点产业园区，建立招商引资合作机构库，借助其海外布点资源，定期在全球范围内开展城市招商推广。积极加强与国家、省、市投资促进机构等合作联系，联合相关行业商协会，结合各镇街（园区）特色产业，加大平台建设招商力度，提升跨境电商园、数字经济产业园等平台的项目承载力，完善众创园区拎包入驻、集中办公、公共物业管理等配套政策，吸引奉籍外贸流通型项目和外贸专才来奉创业就业。</w:t>
      </w:r>
    </w:p>
    <w:p>
      <w:pPr>
        <w:spacing w:line="580" w:lineRule="exact"/>
        <w:ind w:firstLine="643" w:firstLineChars="200"/>
        <w:outlineLvl w:val="1"/>
        <w:rPr>
          <w:rFonts w:ascii="楷体_GB2312" w:hAnsi="黑体" w:eastAsia="楷体_GB2312"/>
          <w:b/>
          <w:sz w:val="32"/>
          <w:szCs w:val="36"/>
        </w:rPr>
      </w:pPr>
      <w:bookmarkStart w:id="56" w:name="_Toc65691854"/>
      <w:r>
        <w:rPr>
          <w:rFonts w:hint="eastAsia" w:ascii="楷体_GB2312" w:hAnsi="黑体" w:eastAsia="楷体_GB2312"/>
          <w:b/>
          <w:sz w:val="32"/>
          <w:szCs w:val="36"/>
        </w:rPr>
        <w:t>（四）开拓对外投资空间</w:t>
      </w:r>
      <w:bookmarkEnd w:id="56"/>
    </w:p>
    <w:p>
      <w:pPr>
        <w:spacing w:line="580" w:lineRule="exact"/>
        <w:ind w:firstLine="643" w:firstLineChars="200"/>
        <w:outlineLvl w:val="1"/>
        <w:rPr>
          <w:rFonts w:ascii="仿宋_GB2312" w:hAnsi="Calibri" w:eastAsia="仿宋_GB2312"/>
          <w:b/>
          <w:sz w:val="32"/>
          <w:szCs w:val="32"/>
        </w:rPr>
      </w:pPr>
      <w:bookmarkStart w:id="57" w:name="_Toc65691855"/>
      <w:r>
        <w:rPr>
          <w:rFonts w:hint="eastAsia" w:ascii="仿宋_GB2312" w:hAnsi="Calibri" w:eastAsia="仿宋_GB2312"/>
          <w:b/>
          <w:sz w:val="32"/>
          <w:szCs w:val="32"/>
        </w:rPr>
        <w:t>1.</w:t>
      </w:r>
      <w:bookmarkStart w:id="58" w:name="_Toc479"/>
      <w:bookmarkStart w:id="59" w:name="_Toc455"/>
      <w:r>
        <w:rPr>
          <w:rFonts w:ascii="仿宋_GB2312" w:hAnsi="Calibri" w:eastAsia="仿宋_GB2312"/>
          <w:b/>
          <w:sz w:val="32"/>
          <w:szCs w:val="32"/>
        </w:rPr>
        <w:t>完善</w:t>
      </w:r>
      <w:r>
        <w:rPr>
          <w:rFonts w:hint="eastAsia" w:ascii="仿宋_GB2312" w:hAnsi="Calibri" w:eastAsia="仿宋_GB2312"/>
          <w:b/>
          <w:sz w:val="32"/>
          <w:szCs w:val="32"/>
        </w:rPr>
        <w:t>境外</w:t>
      </w:r>
      <w:r>
        <w:rPr>
          <w:rFonts w:ascii="仿宋_GB2312" w:hAnsi="Calibri" w:eastAsia="仿宋_GB2312"/>
          <w:b/>
          <w:sz w:val="32"/>
          <w:szCs w:val="32"/>
        </w:rPr>
        <w:t>投资布局</w:t>
      </w:r>
      <w:bookmarkEnd w:id="57"/>
      <w:bookmarkEnd w:id="58"/>
      <w:bookmarkEnd w:id="59"/>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充分放大奉化“走出去”先行先试优势，大力开拓</w:t>
      </w:r>
      <w:r>
        <w:rPr>
          <w:rFonts w:ascii="仿宋_GB2312" w:hAnsi="Calibri" w:eastAsia="仿宋_GB2312"/>
          <w:sz w:val="32"/>
          <w:szCs w:val="32"/>
        </w:rPr>
        <w:t>RECP</w:t>
      </w:r>
      <w:r>
        <w:rPr>
          <w:rFonts w:hint="eastAsia" w:ascii="仿宋_GB2312" w:hAnsi="Calibri" w:eastAsia="仿宋_GB2312"/>
          <w:sz w:val="32"/>
          <w:szCs w:val="32"/>
        </w:rPr>
        <w:t>、中东欧、“一带一路”沿线国家（地区）新兴市场，推动汽配、厨卫家电、高端基础件等具有优势产业加快全球布局。推进境外基地建设，支持企业用好互联互通带来的投资机会，参与境外商贸物流、城市综合体等载体建设，创建境外经贸合作区、产业集聚区，海外孵化器、海外研发机构，</w:t>
      </w:r>
      <w:r>
        <w:rPr>
          <w:rFonts w:ascii="仿宋_GB2312" w:hAnsi="Calibri" w:eastAsia="仿宋_GB2312"/>
          <w:sz w:val="32"/>
          <w:szCs w:val="32"/>
        </w:rPr>
        <w:t>建设一批集生产、研发、仓储、物流、融资、服务等于一体的功能平台，</w:t>
      </w:r>
      <w:r>
        <w:rPr>
          <w:rFonts w:hint="eastAsia" w:ascii="仿宋_GB2312" w:hAnsi="Calibri" w:eastAsia="仿宋_GB2312"/>
          <w:sz w:val="32"/>
          <w:szCs w:val="32"/>
        </w:rPr>
        <w:t>带动上下游企业走出去，形成集聚式走出去优势。</w:t>
      </w:r>
      <w:r>
        <w:rPr>
          <w:rFonts w:hint="eastAsia" w:ascii="仿宋_GB2312" w:eastAsia="仿宋_GB2312"/>
          <w:sz w:val="32"/>
          <w:szCs w:val="32"/>
        </w:rPr>
        <w:t>建立</w:t>
      </w:r>
      <w:r>
        <w:rPr>
          <w:rFonts w:hint="eastAsia" w:ascii="仿宋_GB2312" w:eastAsia="仿宋_GB2312"/>
          <w:sz w:val="32"/>
          <w:szCs w:val="32"/>
          <w:lang w:val="zh-TW"/>
        </w:rPr>
        <w:t>境外投资重点项目库，</w:t>
      </w:r>
      <w:r>
        <w:rPr>
          <w:rFonts w:hint="eastAsia" w:ascii="仿宋_GB2312" w:eastAsia="仿宋_GB2312"/>
          <w:sz w:val="32"/>
          <w:szCs w:val="32"/>
        </w:rPr>
        <w:t>推动</w:t>
      </w:r>
      <w:r>
        <w:rPr>
          <w:rFonts w:hint="eastAsia" w:ascii="仿宋_GB2312" w:eastAsia="仿宋_GB2312"/>
          <w:sz w:val="32"/>
          <w:szCs w:val="32"/>
          <w:lang w:val="zh-TW"/>
        </w:rPr>
        <w:t>重大项目</w:t>
      </w:r>
      <w:r>
        <w:rPr>
          <w:rFonts w:hint="eastAsia" w:ascii="仿宋_GB2312" w:eastAsia="仿宋_GB2312"/>
          <w:sz w:val="32"/>
          <w:szCs w:val="32"/>
        </w:rPr>
        <w:t>入库，健全</w:t>
      </w:r>
      <w:r>
        <w:rPr>
          <w:rFonts w:hint="eastAsia" w:ascii="仿宋_GB2312" w:eastAsia="仿宋_GB2312"/>
          <w:sz w:val="32"/>
          <w:szCs w:val="32"/>
          <w:lang w:val="zh-TW"/>
        </w:rPr>
        <w:t>项目审核、跟踪</w:t>
      </w:r>
      <w:r>
        <w:rPr>
          <w:rFonts w:hint="eastAsia" w:ascii="仿宋_GB2312" w:eastAsia="仿宋_GB2312"/>
          <w:sz w:val="32"/>
          <w:szCs w:val="32"/>
        </w:rPr>
        <w:t>和</w:t>
      </w:r>
      <w:r>
        <w:rPr>
          <w:rFonts w:hint="eastAsia" w:ascii="仿宋_GB2312" w:eastAsia="仿宋_GB2312"/>
          <w:sz w:val="32"/>
          <w:szCs w:val="32"/>
          <w:lang w:val="zh-TW"/>
        </w:rPr>
        <w:t>更新机制。</w:t>
      </w:r>
      <w:r>
        <w:rPr>
          <w:rFonts w:hint="eastAsia" w:ascii="仿宋_GB2312" w:eastAsia="仿宋_GB2312"/>
          <w:sz w:val="32"/>
          <w:szCs w:val="32"/>
        </w:rPr>
        <w:t>探索与发达国家开展第三方市场合作，积极向国际金融组织和外国政府争取优惠贷款。</w:t>
      </w:r>
      <w:r>
        <w:rPr>
          <w:rFonts w:hint="eastAsia" w:ascii="仿宋_GB2312" w:hAnsi="Calibri" w:eastAsia="仿宋_GB2312"/>
          <w:sz w:val="32"/>
          <w:szCs w:val="32"/>
        </w:rPr>
        <w:t>重点开拓巴基斯坦市场，争取保障房项目，开设生产基地，集散奉化和国内其它区域的厨卫家电、电动车、农机、五金等产品，向伊朗、阿富汗等国家辐射。在柬埔寨、越南等东南亚国家发起筹建境外经贸园区和奉商境外联络站，引导支持企业新设海外办事处、产品营销中心和海外仓。</w:t>
      </w:r>
    </w:p>
    <w:p>
      <w:pPr>
        <w:spacing w:line="580" w:lineRule="exact"/>
        <w:ind w:firstLine="643" w:firstLineChars="200"/>
        <w:outlineLvl w:val="1"/>
        <w:rPr>
          <w:rFonts w:ascii="仿宋_GB2312" w:hAnsi="Calibri" w:eastAsia="仿宋_GB2312"/>
          <w:b/>
          <w:sz w:val="32"/>
          <w:szCs w:val="32"/>
        </w:rPr>
      </w:pPr>
      <w:bookmarkStart w:id="60" w:name="_Toc65691856"/>
      <w:r>
        <w:rPr>
          <w:rFonts w:hint="eastAsia" w:ascii="仿宋_GB2312" w:hAnsi="Calibri" w:eastAsia="仿宋_GB2312"/>
          <w:b/>
          <w:sz w:val="32"/>
          <w:szCs w:val="32"/>
        </w:rPr>
        <w:t>2.</w:t>
      </w:r>
      <w:r>
        <w:rPr>
          <w:rFonts w:ascii="仿宋_GB2312" w:hAnsi="Calibri" w:eastAsia="仿宋_GB2312"/>
          <w:b/>
          <w:sz w:val="32"/>
          <w:szCs w:val="32"/>
        </w:rPr>
        <w:t>培育跨国企业集团</w:t>
      </w:r>
      <w:bookmarkEnd w:id="60"/>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扶持时尚服装、气动元件等优势产业推进跨国公司培育计划，培育一批具有规模实力、品牌优势、市场基础的“走出去”骨干企业参与国际市场竞争，积极发展新设、并购、参股等形式开展对外投资合作，在境外设立生产研发、加工组装、分销、售后服务、海外仓和维修基地，</w:t>
      </w:r>
      <w:r>
        <w:rPr>
          <w:rFonts w:hint="eastAsia" w:ascii="仿宋_GB2312" w:eastAsia="仿宋_GB2312"/>
          <w:sz w:val="32"/>
          <w:szCs w:val="32"/>
          <w:lang w:val="zh-TW"/>
        </w:rPr>
        <w:t>促进新邦科技增资项目有序建设，</w:t>
      </w:r>
      <w:r>
        <w:rPr>
          <w:rFonts w:hint="eastAsia" w:ascii="仿宋_GB2312" w:hAnsi="Calibri" w:eastAsia="仿宋_GB2312"/>
          <w:sz w:val="32"/>
          <w:szCs w:val="32"/>
        </w:rPr>
        <w:t>通过全球资源利用、业务流程再造、产业链整合、资本市场运作等方式，提升核心竞争力，深度参与全球产业链重构。同时通过境外商标注册、品牌收购和推广等手段开展品牌国际化建设，引导境外投资向并购优质资产、营销网络和知名品牌转变，加快形成一批在全球范围内能够配置要素资源、布局市场网络且具有跨国经营能力的大企业。鼓励有能力、有经营资格的企业与国内外知名承包商组成联合体，共同投标承包境外大中型工程项目，通过新设、收购、控股等方式在境外投资设立工程承包企业，获取当地各类投标承包资质，带动装备、技术、标准、认证和服务“走出去”。</w:t>
      </w:r>
    </w:p>
    <w:p>
      <w:pPr>
        <w:spacing w:line="580" w:lineRule="exact"/>
        <w:ind w:firstLine="643" w:firstLineChars="200"/>
        <w:outlineLvl w:val="1"/>
        <w:rPr>
          <w:rFonts w:ascii="楷体_GB2312" w:hAnsi="黑体" w:eastAsia="楷体_GB2312"/>
          <w:b/>
          <w:sz w:val="32"/>
          <w:szCs w:val="36"/>
        </w:rPr>
      </w:pPr>
      <w:bookmarkStart w:id="61" w:name="_Toc65691857"/>
      <w:r>
        <w:rPr>
          <w:rFonts w:hint="eastAsia" w:ascii="楷体_GB2312" w:hAnsi="黑体" w:eastAsia="楷体_GB2312"/>
          <w:b/>
          <w:sz w:val="32"/>
          <w:szCs w:val="36"/>
        </w:rPr>
        <w:t>（五）</w:t>
      </w:r>
      <w:r>
        <w:rPr>
          <w:rFonts w:ascii="楷体_GB2312" w:hAnsi="黑体" w:eastAsia="楷体_GB2312"/>
          <w:b/>
          <w:sz w:val="32"/>
          <w:szCs w:val="36"/>
        </w:rPr>
        <w:t>加快服务贸易发展</w:t>
      </w:r>
      <w:bookmarkEnd w:id="61"/>
    </w:p>
    <w:p>
      <w:pPr>
        <w:spacing w:line="580" w:lineRule="exact"/>
        <w:ind w:firstLine="643" w:firstLineChars="200"/>
        <w:outlineLvl w:val="1"/>
        <w:rPr>
          <w:rFonts w:ascii="仿宋_GB2312" w:hAnsi="Calibri" w:eastAsia="仿宋_GB2312"/>
          <w:b/>
          <w:sz w:val="32"/>
          <w:szCs w:val="32"/>
        </w:rPr>
      </w:pPr>
      <w:bookmarkStart w:id="62" w:name="_Toc65691858"/>
      <w:bookmarkStart w:id="63" w:name="_Toc462039511"/>
      <w:bookmarkStart w:id="64" w:name="_Toc462041015"/>
      <w:bookmarkStart w:id="65" w:name="_Toc485914712"/>
      <w:r>
        <w:rPr>
          <w:rFonts w:hint="eastAsia" w:ascii="仿宋_GB2312" w:hAnsi="Calibri" w:eastAsia="仿宋_GB2312"/>
          <w:b/>
          <w:sz w:val="32"/>
          <w:szCs w:val="32"/>
        </w:rPr>
        <w:t>1</w:t>
      </w:r>
      <w:r>
        <w:rPr>
          <w:rFonts w:ascii="仿宋_GB2312" w:hAnsi="Calibri" w:eastAsia="仿宋_GB2312"/>
          <w:b/>
          <w:sz w:val="32"/>
          <w:szCs w:val="32"/>
        </w:rPr>
        <w:t>.培育服务贸易主体</w:t>
      </w:r>
      <w:bookmarkEnd w:id="62"/>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制定支持服务贸易发展相关政策，</w:t>
      </w:r>
      <w:r>
        <w:rPr>
          <w:rFonts w:ascii="仿宋_GB2312" w:hAnsi="Calibri" w:eastAsia="仿宋_GB2312"/>
          <w:sz w:val="32"/>
          <w:szCs w:val="32"/>
        </w:rPr>
        <w:t>推动各类资源向服务贸易企业倾斜，扶持一批服务贸易重点企业加速发展，加强自主创新能力建设，大力发展从事服务贸易业务的劳动密集型和资本技术密集型企业，不断扩大服务外包产业规模，主动拓展欧美日韩等发达国家</w:t>
      </w:r>
      <w:r>
        <w:rPr>
          <w:rFonts w:hint="eastAsia" w:ascii="仿宋_GB2312" w:hAnsi="Calibri" w:eastAsia="仿宋_GB2312"/>
          <w:sz w:val="32"/>
          <w:szCs w:val="32"/>
        </w:rPr>
        <w:t>市场</w:t>
      </w:r>
      <w:r>
        <w:rPr>
          <w:rFonts w:ascii="仿宋_GB2312" w:hAnsi="Calibri" w:eastAsia="仿宋_GB2312"/>
          <w:sz w:val="32"/>
          <w:szCs w:val="32"/>
        </w:rPr>
        <w:t>，增加高技术含量、高附加值外包业务比重</w:t>
      </w:r>
      <w:r>
        <w:rPr>
          <w:rFonts w:hint="eastAsia" w:ascii="仿宋_GB2312" w:hAnsi="Calibri" w:eastAsia="仿宋_GB2312"/>
          <w:sz w:val="32"/>
          <w:szCs w:val="32"/>
        </w:rPr>
        <w:t>。推进特色行业服务外包产业发展，重点发展软件研发设计外包，文化创意外包、现代物流外包等。打造若干特色服务外包出口基地，建设服务外包示范园，加强专业服务和中介服务机构引进培育，大力发展面向纺织服装、厨卫家居、汽摩配件、气动元件等产业的服务外包业态；深化商旅文融合发展，挖掘文化旅游、运动休闲、传统美食等优势资源，打造一批体现奉化特色的旅游购物和体验品牌，建设浙江商旅文融合发展示范区，争创中国—中东欧国家经贸合作示范区奉化文化旅游中心</w:t>
      </w:r>
      <w:r>
        <w:rPr>
          <w:rFonts w:ascii="仿宋_GB2312" w:hAnsi="Calibri" w:eastAsia="仿宋_GB2312"/>
          <w:sz w:val="32"/>
          <w:szCs w:val="32"/>
        </w:rPr>
        <w:t>。创新服务贸易发展模式，开展“互联网+服务贸易”，</w:t>
      </w:r>
      <w:r>
        <w:rPr>
          <w:rFonts w:hint="eastAsia" w:ascii="仿宋_GB2312" w:hAnsi="Calibri" w:eastAsia="仿宋_GB2312"/>
          <w:sz w:val="32"/>
          <w:szCs w:val="32"/>
        </w:rPr>
        <w:t>大力推动跨境金融保险、医疗养老、教育培训、影视出版、文化艺术、研发设计、动漫创意、网络游戏等新兴服务贸易进出口，</w:t>
      </w:r>
      <w:r>
        <w:rPr>
          <w:rFonts w:ascii="仿宋_GB2312" w:hAnsi="Calibri" w:eastAsia="仿宋_GB2312"/>
          <w:sz w:val="32"/>
          <w:szCs w:val="32"/>
        </w:rPr>
        <w:t>进一步提升文化产品和服务出口比重，促进货物贸易与服务贸易协同发展。提升服务贸易便利化水平</w:t>
      </w:r>
      <w:r>
        <w:rPr>
          <w:rFonts w:hint="eastAsia" w:ascii="仿宋_GB2312" w:hAnsi="Calibri" w:eastAsia="仿宋_GB2312"/>
          <w:sz w:val="32"/>
          <w:szCs w:val="32"/>
        </w:rPr>
        <w:t>，</w:t>
      </w:r>
      <w:r>
        <w:rPr>
          <w:rFonts w:ascii="仿宋_GB2312" w:hAnsi="Calibri" w:eastAsia="仿宋_GB2312"/>
          <w:sz w:val="32"/>
          <w:szCs w:val="32"/>
        </w:rPr>
        <w:t>以企业信用平台为依托，创新事中事后监管</w:t>
      </w:r>
      <w:r>
        <w:rPr>
          <w:rFonts w:hint="eastAsia" w:ascii="仿宋_GB2312" w:hAnsi="Calibri" w:eastAsia="仿宋_GB2312"/>
          <w:sz w:val="32"/>
          <w:szCs w:val="32"/>
        </w:rPr>
        <w:t>，</w:t>
      </w:r>
      <w:r>
        <w:rPr>
          <w:rFonts w:ascii="仿宋_GB2312" w:hAnsi="Calibri" w:eastAsia="仿宋_GB2312"/>
          <w:sz w:val="32"/>
          <w:szCs w:val="32"/>
        </w:rPr>
        <w:t>营造接轨国际的服务贸易发展良好环境。</w:t>
      </w:r>
      <w:bookmarkEnd w:id="63"/>
      <w:bookmarkEnd w:id="64"/>
      <w:bookmarkEnd w:id="65"/>
    </w:p>
    <w:p>
      <w:pPr>
        <w:spacing w:line="580" w:lineRule="exact"/>
        <w:ind w:firstLine="643" w:firstLineChars="200"/>
        <w:outlineLvl w:val="1"/>
        <w:rPr>
          <w:rFonts w:ascii="宋体" w:hAnsi="宋体" w:cs="宋体"/>
          <w:color w:val="FF0000"/>
          <w:sz w:val="36"/>
          <w:szCs w:val="36"/>
          <w:shd w:val="clear" w:color="auto" w:fill="FFFFFF"/>
        </w:rPr>
      </w:pPr>
      <w:bookmarkStart w:id="66" w:name="_Toc65691859"/>
      <w:r>
        <w:rPr>
          <w:rFonts w:hint="eastAsia" w:ascii="仿宋_GB2312" w:hAnsi="Calibri" w:eastAsia="仿宋_GB2312"/>
          <w:b/>
          <w:sz w:val="32"/>
          <w:szCs w:val="32"/>
        </w:rPr>
        <w:t>2.发展数字服务贸易</w:t>
      </w:r>
      <w:bookmarkEnd w:id="66"/>
    </w:p>
    <w:p>
      <w:pPr>
        <w:spacing w:line="580"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培育形成一批高能级数字贸易平台，打造和提升软件与服务外包数字服务出口基地，推动服务外包向高技术、高品质、高附加值转型升级，发展工业设计、软件研发等数字化服务外包，发展与人工智能、云计算、大数据等新技术相融合的新兴服务贸易。</w:t>
      </w:r>
      <w:r>
        <w:rPr>
          <w:rFonts w:hint="eastAsia" w:ascii="仿宋_GB2312" w:hAnsi="Calibri" w:eastAsia="仿宋_GB2312"/>
          <w:sz w:val="32"/>
          <w:szCs w:val="32"/>
        </w:rPr>
        <w:t>瞄准数字服务贸易的内容建设和数字服务体系建设发力，扶持信息软件、数字出版、数字阅读、网络文学、网络游戏、网络视听等数字化内容产业化发展，围绕检验检测服务、中医药服务、旅游服务、金融服务、教育培训等传统服务，打造完整的数字服务贸易体系。</w:t>
      </w:r>
      <w:r>
        <w:rPr>
          <w:rFonts w:ascii="仿宋_GB2312" w:hAnsi="Calibri" w:eastAsia="仿宋_GB2312"/>
          <w:sz w:val="32"/>
          <w:szCs w:val="32"/>
        </w:rPr>
        <w:t>深入推动云计算、大数据、芯片、传感器件、智能新硬件等相关产业与区块链技术融合发展，</w:t>
      </w:r>
      <w:r>
        <w:rPr>
          <w:rFonts w:hint="eastAsia" w:ascii="仿宋_GB2312" w:hAnsi="Calibri" w:eastAsia="仿宋_GB2312"/>
          <w:sz w:val="32"/>
          <w:szCs w:val="32"/>
        </w:rPr>
        <w:t>开展</w:t>
      </w:r>
      <w:r>
        <w:rPr>
          <w:rFonts w:ascii="仿宋_GB2312" w:hAnsi="Calibri" w:eastAsia="仿宋_GB2312"/>
          <w:sz w:val="32"/>
          <w:szCs w:val="32"/>
        </w:rPr>
        <w:t>数字数据生产交易，</w:t>
      </w:r>
      <w:r>
        <w:rPr>
          <w:rFonts w:hint="eastAsia" w:ascii="仿宋_GB2312" w:hAnsi="仿宋_GB2312" w:eastAsia="仿宋_GB2312" w:cs="仿宋_GB2312"/>
          <w:sz w:val="32"/>
          <w:szCs w:val="32"/>
        </w:rPr>
        <w:t>完善大数据分析，推进产业链、供应链数据协同</w:t>
      </w:r>
      <w:r>
        <w:rPr>
          <w:rFonts w:ascii="仿宋_GB2312" w:hAnsi="Calibri" w:eastAsia="仿宋_GB2312"/>
          <w:sz w:val="32"/>
          <w:szCs w:val="32"/>
        </w:rPr>
        <w:t>，在部分成熟的服务贸易行业领域探索创新数字金融。</w:t>
      </w:r>
      <w:r>
        <w:rPr>
          <w:rFonts w:hint="eastAsia" w:ascii="仿宋_GB2312" w:hAnsi="Calibri" w:eastAsia="仿宋_GB2312"/>
          <w:sz w:val="32"/>
          <w:szCs w:val="32"/>
        </w:rPr>
        <w:t>至2025年，争取打造成为奉化百亿级规模的都市型经济和国家级服务贸易典型示范基地。</w:t>
      </w:r>
    </w:p>
    <w:p>
      <w:pPr>
        <w:spacing w:line="580" w:lineRule="exact"/>
        <w:ind w:firstLine="643" w:firstLineChars="200"/>
        <w:outlineLvl w:val="1"/>
        <w:rPr>
          <w:rFonts w:ascii="楷体_GB2312" w:hAnsi="黑体" w:eastAsia="楷体_GB2312"/>
          <w:b/>
          <w:sz w:val="32"/>
          <w:szCs w:val="36"/>
        </w:rPr>
      </w:pPr>
      <w:bookmarkStart w:id="67" w:name="_Toc65691860"/>
      <w:r>
        <w:rPr>
          <w:rFonts w:hint="eastAsia" w:ascii="楷体_GB2312" w:hAnsi="黑体" w:eastAsia="楷体_GB2312"/>
          <w:b/>
          <w:sz w:val="32"/>
          <w:szCs w:val="36"/>
        </w:rPr>
        <w:t>（六）</w:t>
      </w:r>
      <w:r>
        <w:rPr>
          <w:rFonts w:ascii="楷体_GB2312" w:hAnsi="黑体" w:eastAsia="楷体_GB2312"/>
          <w:b/>
          <w:sz w:val="32"/>
          <w:szCs w:val="36"/>
        </w:rPr>
        <w:t>统筹</w:t>
      </w:r>
      <w:r>
        <w:rPr>
          <w:rFonts w:hint="eastAsia" w:ascii="楷体_GB2312" w:hAnsi="黑体" w:eastAsia="楷体_GB2312"/>
          <w:b/>
          <w:sz w:val="32"/>
          <w:szCs w:val="36"/>
        </w:rPr>
        <w:t>境内外双循环</w:t>
      </w:r>
      <w:bookmarkEnd w:id="67"/>
    </w:p>
    <w:p>
      <w:pPr>
        <w:spacing w:line="600" w:lineRule="exact"/>
        <w:ind w:firstLine="643" w:firstLineChars="200"/>
        <w:outlineLvl w:val="2"/>
        <w:rPr>
          <w:rFonts w:eastAsia="楷体_GB2312"/>
          <w:b/>
          <w:sz w:val="32"/>
          <w:szCs w:val="32"/>
        </w:rPr>
      </w:pPr>
      <w:bookmarkStart w:id="68" w:name="_Toc462039532"/>
      <w:bookmarkStart w:id="69" w:name="_Toc462041036"/>
      <w:bookmarkStart w:id="70" w:name="_Toc485914740"/>
      <w:r>
        <w:rPr>
          <w:rFonts w:hint="eastAsia" w:eastAsia="楷体_GB2312"/>
          <w:b/>
          <w:sz w:val="32"/>
          <w:szCs w:val="32"/>
        </w:rPr>
        <w:t>1.</w:t>
      </w:r>
      <w:bookmarkEnd w:id="68"/>
      <w:bookmarkEnd w:id="69"/>
      <w:r>
        <w:rPr>
          <w:rFonts w:eastAsia="楷体_GB2312"/>
          <w:b/>
          <w:sz w:val="32"/>
          <w:szCs w:val="32"/>
        </w:rPr>
        <w:t>推进“</w:t>
      </w:r>
      <w:r>
        <w:rPr>
          <w:rFonts w:hint="eastAsia" w:eastAsia="楷体_GB2312"/>
          <w:b/>
          <w:sz w:val="32"/>
          <w:szCs w:val="32"/>
        </w:rPr>
        <w:t>奉化</w:t>
      </w:r>
      <w:r>
        <w:rPr>
          <w:rFonts w:eastAsia="楷体_GB2312"/>
          <w:b/>
          <w:sz w:val="32"/>
          <w:szCs w:val="32"/>
        </w:rPr>
        <w:t>制造”品牌</w:t>
      </w:r>
      <w:bookmarkEnd w:id="70"/>
      <w:r>
        <w:rPr>
          <w:rFonts w:hint="eastAsia" w:eastAsia="楷体_GB2312"/>
          <w:b/>
          <w:sz w:val="32"/>
          <w:szCs w:val="32"/>
        </w:rPr>
        <w:t>出海</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推进“品字标浙江制造”认证、标准创新、品牌创新，</w:t>
      </w:r>
      <w:r>
        <w:rPr>
          <w:rFonts w:ascii="仿宋_GB2312" w:hAnsi="Calibri" w:eastAsia="仿宋_GB2312"/>
          <w:sz w:val="32"/>
          <w:szCs w:val="32"/>
        </w:rPr>
        <w:t>扶持品牌培育和运营机构发展，</w:t>
      </w:r>
      <w:r>
        <w:rPr>
          <w:rFonts w:hint="eastAsia" w:ascii="仿宋_GB2312" w:hAnsi="Calibri" w:eastAsia="仿宋_GB2312"/>
          <w:sz w:val="32"/>
          <w:szCs w:val="32"/>
        </w:rPr>
        <w:t>开展省市贸易出口名牌推荐及认定工作，鼓励企业选择合适的平台建立社交自媒体增强品牌识别度、宣传企业理性和感性价值观，</w:t>
      </w:r>
      <w:r>
        <w:rPr>
          <w:rFonts w:ascii="仿宋_GB2312" w:hAnsi="Calibri" w:eastAsia="仿宋_GB2312"/>
          <w:sz w:val="32"/>
          <w:szCs w:val="32"/>
        </w:rPr>
        <w:t>提升出口品牌的国际知名度和影响力</w:t>
      </w:r>
      <w:r>
        <w:rPr>
          <w:rFonts w:hint="eastAsia" w:ascii="仿宋_GB2312" w:hAnsi="Calibri" w:eastAsia="仿宋_GB2312"/>
          <w:sz w:val="32"/>
          <w:szCs w:val="32"/>
        </w:rPr>
        <w:t>。鼓励企业品牌输出，建立出口产品质量检测公共平台，支持企业开展国际质量质量体系认证，设立境外重点市场品牌运营中心，</w:t>
      </w:r>
      <w:r>
        <w:rPr>
          <w:rFonts w:ascii="仿宋_GB2312" w:hAnsi="Calibri" w:eastAsia="仿宋_GB2312"/>
          <w:sz w:val="32"/>
          <w:szCs w:val="32"/>
        </w:rPr>
        <w:t>全方位为企业提供品牌管理咨询、市场推广等服务，开展</w:t>
      </w:r>
      <w:r>
        <w:rPr>
          <w:rFonts w:hint="eastAsia" w:ascii="仿宋_GB2312" w:hAnsi="Calibri" w:eastAsia="仿宋_GB2312"/>
          <w:sz w:val="32"/>
          <w:szCs w:val="32"/>
        </w:rPr>
        <w:t>多国注册专利和商标。</w:t>
      </w:r>
      <w:r>
        <w:rPr>
          <w:rFonts w:ascii="仿宋_GB2312" w:hAnsi="Calibri" w:eastAsia="仿宋_GB2312"/>
          <w:sz w:val="32"/>
          <w:szCs w:val="32"/>
        </w:rPr>
        <w:t>建设一批出口品牌基地，</w:t>
      </w:r>
      <w:r>
        <w:rPr>
          <w:rFonts w:hint="eastAsia" w:ascii="仿宋_GB2312" w:hAnsi="Calibri" w:eastAsia="仿宋_GB2312"/>
          <w:sz w:val="32"/>
          <w:szCs w:val="32"/>
        </w:rPr>
        <w:t>优化气动元件国家外贸转型升级示范基地和服装国家外贸转型升级示范基地服务企业功能，支持奉化国际时尚产业园深入做好红帮产业国际化和国际品牌本地化两篇文章，推动建设区级特色外贸品牌展示、展销基地。在“十四五”期间，力争年均创建宁波市级以上“出口名牌”和“出口知名商标”5个以上。</w:t>
      </w:r>
    </w:p>
    <w:p>
      <w:pPr>
        <w:spacing w:line="600" w:lineRule="exact"/>
        <w:ind w:firstLine="643" w:firstLineChars="200"/>
        <w:outlineLvl w:val="2"/>
        <w:rPr>
          <w:rFonts w:eastAsia="楷体_GB2312"/>
          <w:b/>
          <w:sz w:val="32"/>
          <w:szCs w:val="32"/>
        </w:rPr>
      </w:pPr>
      <w:r>
        <w:rPr>
          <w:rFonts w:hint="eastAsia" w:eastAsia="楷体_GB2312"/>
          <w:b/>
          <w:sz w:val="32"/>
          <w:szCs w:val="32"/>
        </w:rPr>
        <w:t>2.</w:t>
      </w:r>
      <w:r>
        <w:rPr>
          <w:rFonts w:eastAsia="楷体_GB2312"/>
          <w:b/>
          <w:sz w:val="32"/>
          <w:szCs w:val="32"/>
        </w:rPr>
        <w:t>助力外贸企业出口转内销</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cs="Times New Roman"/>
          <w:sz w:val="32"/>
          <w:szCs w:val="32"/>
        </w:rPr>
        <w:t>多渠道支持出口转内销，制定出台促进内外贸一体化发展意见，力争大宗商品交易实现新突破，</w:t>
      </w:r>
      <w:r>
        <w:rPr>
          <w:rFonts w:hint="eastAsia" w:ascii="仿宋_GB2312" w:hAnsi="Calibri" w:eastAsia="仿宋_GB2312"/>
          <w:sz w:val="32"/>
          <w:szCs w:val="32"/>
        </w:rPr>
        <w:t>加快转内销市场准入，简化出口转内销产品认证程序，简化企业办税程序，支持出口产品进国</w:t>
      </w:r>
      <w:r>
        <w:rPr>
          <w:rFonts w:hint="eastAsia" w:ascii="Times New Roman" w:hAnsi="Times New Roman" w:eastAsia="仿宋_GB2312" w:cs="Times New Roman"/>
          <w:sz w:val="32"/>
          <w:szCs w:val="32"/>
        </w:rPr>
        <w:t>内展会、进电商平台、进商超，</w:t>
      </w:r>
      <w:r>
        <w:rPr>
          <w:rFonts w:hint="eastAsia" w:ascii="仿宋_GB2312" w:hAnsi="Calibri" w:eastAsia="仿宋_GB2312" w:cs="Times New Roman"/>
          <w:sz w:val="32"/>
          <w:szCs w:val="32"/>
        </w:rPr>
        <w:t>引导企业实现内外销产品“同线同质同标”</w:t>
      </w:r>
      <w:r>
        <w:rPr>
          <w:rFonts w:hint="eastAsia" w:ascii="仿宋_GB2312" w:hAnsi="Calibri" w:eastAsia="仿宋_GB2312"/>
          <w:sz w:val="32"/>
          <w:szCs w:val="32"/>
        </w:rPr>
        <w:t>，扩大适用范围至一般消费品、工业品领域</w:t>
      </w:r>
      <w:r>
        <w:rPr>
          <w:rFonts w:hint="eastAsia" w:ascii="仿宋_GB2312" w:hAnsi="Calibri" w:eastAsia="仿宋_GB2312" w:cs="Times New Roman"/>
          <w:sz w:val="32"/>
          <w:szCs w:val="32"/>
        </w:rPr>
        <w:t>，推动优质产品成为国内畅销品牌。</w:t>
      </w:r>
      <w:r>
        <w:rPr>
          <w:rFonts w:hint="eastAsia" w:ascii="仿宋_GB2312" w:hAnsi="Calibri" w:eastAsia="仿宋_GB2312"/>
          <w:sz w:val="32"/>
          <w:szCs w:val="32"/>
        </w:rPr>
        <w:t>搭建转内销平台，</w:t>
      </w:r>
      <w:r>
        <w:rPr>
          <w:rFonts w:ascii="仿宋_GB2312" w:hAnsi="Calibri" w:eastAsia="仿宋_GB2312"/>
          <w:sz w:val="32"/>
          <w:szCs w:val="32"/>
        </w:rPr>
        <w:t>支持外贸企业与电商、</w:t>
      </w:r>
      <w:r>
        <w:rPr>
          <w:rFonts w:hint="eastAsia" w:ascii="仿宋_GB2312" w:hAnsi="Calibri" w:eastAsia="仿宋_GB2312"/>
          <w:sz w:val="32"/>
          <w:szCs w:val="32"/>
        </w:rPr>
        <w:t>网红资源对接，转变销售模式和渠道；</w:t>
      </w:r>
      <w:r>
        <w:rPr>
          <w:rFonts w:ascii="仿宋_GB2312" w:hAnsi="Calibri" w:eastAsia="仿宋_GB2312"/>
          <w:sz w:val="32"/>
          <w:szCs w:val="32"/>
        </w:rPr>
        <w:t>支持外贸企业纳入“浙江省出口转内销专属销售平台—浙江内销馆”名单参与政府采购，助推外贸产品出口转内销。</w:t>
      </w:r>
      <w:r>
        <w:rPr>
          <w:rFonts w:hint="eastAsia" w:ascii="仿宋_GB2312" w:hAnsi="Calibri" w:eastAsia="仿宋_GB2312"/>
          <w:sz w:val="32"/>
          <w:szCs w:val="32"/>
        </w:rPr>
        <w:t>发挥有效投资带动作用，围绕宁波市建设世界时尚产业名城和国际知名商圈等重点工程，重点结合新型基础设施、新型城镇化和重大工程建设需求，组织对接一批符合条件的出口产品转内销。</w:t>
      </w:r>
      <w:r>
        <w:rPr>
          <w:rFonts w:hint="eastAsia" w:ascii="仿宋_GB2312" w:hAnsi="Calibri" w:eastAsia="仿宋_GB2312" w:cs="Times New Roman"/>
          <w:sz w:val="32"/>
          <w:szCs w:val="32"/>
        </w:rPr>
        <w:t>实施国内市场拓展计划和进口替代策略，</w:t>
      </w:r>
      <w:r>
        <w:rPr>
          <w:rFonts w:hint="eastAsia" w:ascii="仿宋_GB2312" w:hAnsi="Calibri" w:eastAsia="仿宋_GB2312"/>
          <w:sz w:val="32"/>
          <w:szCs w:val="32"/>
        </w:rPr>
        <w:t>精准对接消费需求，引导外贸企业研发适销对路的内销产品</w:t>
      </w:r>
      <w:r>
        <w:rPr>
          <w:rFonts w:hint="eastAsia" w:ascii="仿宋_GB2312" w:hAnsi="Calibri" w:eastAsia="仿宋_GB2312" w:cs="Times New Roman"/>
          <w:sz w:val="32"/>
          <w:szCs w:val="32"/>
        </w:rPr>
        <w:t>，通过创建自主品牌、建立营销网络、借力电商平台、发展数字展贸等方式深耕国内市场。</w:t>
      </w:r>
      <w:r>
        <w:rPr>
          <w:rFonts w:hint="eastAsia" w:ascii="Times New Roman" w:hAnsi="Times New Roman" w:eastAsia="仿宋_GB2312" w:cs="Times New Roman"/>
          <w:sz w:val="32"/>
          <w:szCs w:val="32"/>
        </w:rPr>
        <w:t>鼓励今日食品等企业开设国内体验店，</w:t>
      </w:r>
      <w:r>
        <w:rPr>
          <w:rFonts w:hint="eastAsia" w:ascii="仿宋_GB2312" w:hAnsi="Calibri" w:eastAsia="仿宋_GB2312"/>
          <w:sz w:val="32"/>
          <w:szCs w:val="32"/>
        </w:rPr>
        <w:t>充分利用新业态新模式，促进线上线下融合发展，鼓励在奉化高铁站、城区和旅游度假区等人流密集场所建设转内销商品O</w:t>
      </w:r>
      <w:r>
        <w:rPr>
          <w:rFonts w:ascii="仿宋_GB2312" w:hAnsi="Calibri" w:eastAsia="仿宋_GB2312"/>
          <w:sz w:val="32"/>
          <w:szCs w:val="32"/>
        </w:rPr>
        <w:t>2O</w:t>
      </w:r>
      <w:r>
        <w:rPr>
          <w:rFonts w:hint="eastAsia" w:ascii="仿宋_GB2312" w:hAnsi="Calibri" w:eastAsia="仿宋_GB2312"/>
          <w:sz w:val="32"/>
          <w:szCs w:val="32"/>
        </w:rPr>
        <w:t>体验中心，将“线下体验、线上下单，线下提货”紧密结合，集展示、体验、交易、配送等于一体。 </w:t>
      </w:r>
    </w:p>
    <w:p>
      <w:pPr>
        <w:spacing w:line="580" w:lineRule="exact"/>
        <w:ind w:firstLine="640" w:firstLineChars="200"/>
        <w:rPr>
          <w:rFonts w:ascii="仿宋_GB2312" w:hAnsi="Calibri" w:eastAsia="仿宋_GB2312"/>
          <w:sz w:val="32"/>
          <w:szCs w:val="32"/>
        </w:rPr>
      </w:pPr>
    </w:p>
    <w:p>
      <w:pPr>
        <w:spacing w:line="600" w:lineRule="exact"/>
        <w:ind w:firstLine="643" w:firstLineChars="200"/>
        <w:outlineLvl w:val="2"/>
        <w:rPr>
          <w:rFonts w:ascii="Times New Roman" w:hAnsi="Times New Roman" w:eastAsia="楷体_GB2312" w:cs="Times New Roman"/>
          <w:b/>
          <w:sz w:val="32"/>
          <w:szCs w:val="32"/>
        </w:rPr>
      </w:pPr>
      <w:r>
        <w:rPr>
          <w:rFonts w:hint="eastAsia" w:ascii="Times New Roman" w:hAnsi="Times New Roman" w:eastAsia="楷体_GB2312"/>
          <w:b/>
          <w:sz w:val="32"/>
          <w:szCs w:val="32"/>
        </w:rPr>
        <w:t>3</w:t>
      </w:r>
      <w:r>
        <w:rPr>
          <w:rFonts w:ascii="Times New Roman" w:hAnsi="Times New Roman" w:eastAsia="楷体_GB2312"/>
          <w:b/>
          <w:sz w:val="32"/>
          <w:szCs w:val="32"/>
        </w:rPr>
        <w:t>.</w:t>
      </w:r>
      <w:r>
        <w:rPr>
          <w:rFonts w:hint="eastAsia" w:ascii="Times New Roman" w:hAnsi="Times New Roman" w:eastAsia="楷体_GB2312" w:cs="Times New Roman"/>
          <w:b/>
          <w:sz w:val="32"/>
          <w:szCs w:val="32"/>
        </w:rPr>
        <w:t>加强开拓</w:t>
      </w:r>
      <w:r>
        <w:rPr>
          <w:rFonts w:hint="eastAsia" w:eastAsia="楷体_GB2312"/>
          <w:b/>
          <w:sz w:val="32"/>
          <w:szCs w:val="32"/>
        </w:rPr>
        <w:t>优质</w:t>
      </w:r>
      <w:r>
        <w:rPr>
          <w:rFonts w:hint="eastAsia" w:ascii="Times New Roman" w:hAnsi="Times New Roman" w:eastAsia="楷体_GB2312" w:cs="Times New Roman"/>
          <w:b/>
          <w:sz w:val="32"/>
          <w:szCs w:val="32"/>
        </w:rPr>
        <w:t>新业态载体</w:t>
      </w:r>
    </w:p>
    <w:p>
      <w:pPr>
        <w:ind w:firstLine="600"/>
        <w:rPr>
          <w:rFonts w:ascii="仿宋_GB2312" w:hAnsi="Calibri" w:eastAsia="仿宋_GB2312"/>
          <w:sz w:val="32"/>
          <w:szCs w:val="32"/>
        </w:rPr>
      </w:pPr>
      <w:r>
        <w:rPr>
          <w:rFonts w:hint="eastAsia" w:ascii="仿宋_GB2312" w:hAnsi="Calibri" w:eastAsia="仿宋_GB2312" w:cs="Times New Roman"/>
          <w:sz w:val="32"/>
          <w:szCs w:val="32"/>
        </w:rPr>
        <w:t>大力发展楼宇经济，营造创业创新环境，打造奉化特色的CBD中心，重点在岳林一带东部城区的旧城改造、中交轨道交通周边，谋划奉化特色的CBD中心，导入优质产业项目。扶持总部经济发展，满足制造企业、外贸公司、网红直播、跨境电商、影视制作等产业需求，重点建设帝亚一维、慧蛙科技、长隆集团等企业总部大楼，</w:t>
      </w:r>
      <w:r>
        <w:rPr>
          <w:rFonts w:hint="eastAsia" w:ascii="仿宋_GB2312" w:hAnsi="Calibri" w:eastAsia="仿宋_GB2312"/>
          <w:sz w:val="32"/>
          <w:szCs w:val="32"/>
        </w:rPr>
        <w:t>打造一个由集团总部、研发、办公、商住组成的数字产业综合体，并以产业数字化平台、人工智能开发、数字工作平台和物联网应用为核心，吸引产业链上下游企业入驻，构建完善的产业链生态</w:t>
      </w:r>
      <w:r>
        <w:rPr>
          <w:rFonts w:hint="eastAsia" w:ascii="仿宋_GB2312" w:hAnsi="Calibri" w:eastAsia="仿宋_GB2312" w:cs="Times New Roman"/>
          <w:sz w:val="32"/>
          <w:szCs w:val="32"/>
        </w:rPr>
        <w:t>，发展“奉化总部+制造基地”模式；</w:t>
      </w:r>
      <w:r>
        <w:rPr>
          <w:rFonts w:hint="eastAsia" w:ascii="仿宋_GB2312" w:hAnsi="Calibri" w:eastAsia="仿宋_GB2312"/>
          <w:sz w:val="32"/>
          <w:szCs w:val="32"/>
        </w:rPr>
        <w:t>积极推动金融总部项目的落地挂牌，区里成立工作专班，推进</w:t>
      </w:r>
      <w:r>
        <w:rPr>
          <w:rFonts w:hint="eastAsia" w:ascii="仿宋_GB2312" w:hAnsi="Calibri" w:eastAsia="仿宋_GB2312" w:cs="Times New Roman"/>
          <w:sz w:val="32"/>
          <w:szCs w:val="32"/>
        </w:rPr>
        <w:t>新浪保险筹建工作，争取</w:t>
      </w:r>
      <w:r>
        <w:rPr>
          <w:rFonts w:hint="eastAsia" w:ascii="仿宋_GB2312" w:hAnsi="Calibri" w:eastAsia="仿宋_GB2312"/>
          <w:sz w:val="32"/>
          <w:szCs w:val="32"/>
        </w:rPr>
        <w:t>中交的海外保险业务集中到奉化，形成总部经济；引入高层次的律师事务所、会计师事务所等中介服务机构，打造一批特色楼宇，确保在千万税收楼宇上实现新突破。</w:t>
      </w:r>
      <w:r>
        <w:rPr>
          <w:rFonts w:hint="eastAsia" w:ascii="仿宋_GB2312" w:hAnsi="Calibri" w:eastAsia="仿宋_GB2312" w:cs="Times New Roman"/>
          <w:sz w:val="32"/>
          <w:szCs w:val="32"/>
        </w:rPr>
        <w:t>组合开发CBD产业项目和房地产（人才公寓）项目，以房地产的收益弥补CBD的5G基础设施、安保、地下停车场等方面的公共投入。此外，围绕轨道交通3号线站点和重要片区开放，通过大数据、人工智能等科技手段，优化布局一批智慧商圈、智慧集市和智慧商店，全力推进品质生活、城西生态文化、未来城时尚休闲等商圈建设，重点引进国际知名购物中心、主体商场等高端业态，</w:t>
      </w:r>
      <w:r>
        <w:rPr>
          <w:rFonts w:hint="eastAsia" w:ascii="仿宋_GB2312" w:hAnsi="Calibri" w:eastAsia="仿宋_GB2312"/>
          <w:sz w:val="32"/>
          <w:szCs w:val="32"/>
        </w:rPr>
        <w:t>打造集</w:t>
      </w:r>
      <w:r>
        <w:rPr>
          <w:rFonts w:hint="eastAsia" w:ascii="仿宋_GB2312" w:hAnsi="Calibri" w:eastAsia="仿宋_GB2312" w:cs="Times New Roman"/>
          <w:sz w:val="32"/>
          <w:szCs w:val="32"/>
        </w:rPr>
        <w:t>商超和餐饮、住宿等业态</w:t>
      </w:r>
      <w:r>
        <w:rPr>
          <w:rFonts w:hint="eastAsia" w:ascii="仿宋_GB2312" w:hAnsi="Calibri" w:eastAsia="仿宋_GB2312"/>
          <w:sz w:val="32"/>
          <w:szCs w:val="32"/>
        </w:rPr>
        <w:t>的</w:t>
      </w:r>
      <w:r>
        <w:rPr>
          <w:rFonts w:hint="eastAsia" w:ascii="仿宋_GB2312" w:hAnsi="Calibri" w:eastAsia="仿宋_GB2312" w:cs="Times New Roman"/>
          <w:sz w:val="32"/>
          <w:szCs w:val="32"/>
        </w:rPr>
        <w:t>优质商住综合体</w:t>
      </w:r>
      <w:r>
        <w:rPr>
          <w:rFonts w:hint="eastAsia" w:ascii="仿宋_GB2312" w:hAnsi="Calibri" w:eastAsia="仿宋_GB2312"/>
          <w:sz w:val="32"/>
          <w:szCs w:val="32"/>
        </w:rPr>
        <w:t>。</w:t>
      </w:r>
    </w:p>
    <w:p>
      <w:pPr>
        <w:spacing w:line="580" w:lineRule="exact"/>
        <w:ind w:firstLine="643" w:firstLineChars="200"/>
        <w:outlineLvl w:val="1"/>
        <w:rPr>
          <w:rFonts w:ascii="楷体_GB2312" w:hAnsi="黑体" w:eastAsia="楷体_GB2312"/>
          <w:snapToGrid w:val="0"/>
          <w:sz w:val="32"/>
          <w:szCs w:val="36"/>
        </w:rPr>
      </w:pPr>
      <w:bookmarkStart w:id="71" w:name="_Toc65691861"/>
      <w:r>
        <w:rPr>
          <w:rFonts w:hint="eastAsia" w:ascii="楷体_GB2312" w:hAnsi="黑体" w:eastAsia="楷体_GB2312"/>
          <w:b/>
          <w:sz w:val="32"/>
          <w:szCs w:val="36"/>
        </w:rPr>
        <w:t>（七）培育跨境电商生态</w:t>
      </w:r>
      <w:bookmarkEnd w:id="71"/>
    </w:p>
    <w:p>
      <w:pPr>
        <w:spacing w:line="600" w:lineRule="exact"/>
        <w:ind w:firstLine="643" w:firstLineChars="200"/>
        <w:outlineLvl w:val="2"/>
        <w:rPr>
          <w:rFonts w:ascii="宋体" w:hAnsi="宋体" w:cs="宋体"/>
          <w:color w:val="FF0000"/>
          <w:sz w:val="36"/>
          <w:szCs w:val="36"/>
          <w:shd w:val="clear" w:color="auto" w:fill="FFFFFF"/>
        </w:rPr>
      </w:pPr>
      <w:r>
        <w:rPr>
          <w:rFonts w:hint="eastAsia" w:eastAsia="楷体_GB2312"/>
          <w:b/>
          <w:sz w:val="32"/>
          <w:szCs w:val="32"/>
        </w:rPr>
        <w:t>1.建设跨境电商平台</w:t>
      </w:r>
    </w:p>
    <w:p>
      <w:pPr>
        <w:ind w:firstLine="600"/>
        <w:rPr>
          <w:rFonts w:ascii="宋体" w:hAnsi="宋体" w:cs="宋体"/>
          <w:color w:val="FF0000"/>
          <w:sz w:val="36"/>
          <w:szCs w:val="36"/>
          <w:shd w:val="clear" w:color="auto" w:fill="FFFFFF"/>
        </w:rPr>
      </w:pPr>
      <w:r>
        <w:rPr>
          <w:rFonts w:hint="eastAsia" w:ascii="仿宋_GB2312" w:hAnsi="Calibri" w:eastAsia="仿宋_GB2312"/>
          <w:sz w:val="32"/>
          <w:szCs w:val="32"/>
        </w:rPr>
        <w:t>紧抓宁波市作为国家跨境电子商务试点城市机遇，积极探索政企协作发展，市场化运作模式，搭建境内外跨境电子商务交易平台，为跨境电商业务做好基础配套建设和平台服务支撑，打造奉化</w:t>
      </w:r>
      <w:r>
        <w:rPr>
          <w:rFonts w:ascii="仿宋_GB2312" w:hAnsi="Calibri" w:eastAsia="仿宋_GB2312"/>
          <w:sz w:val="32"/>
          <w:szCs w:val="32"/>
        </w:rPr>
        <w:t>实体经济通向跨境电商的桥头堡</w:t>
      </w:r>
      <w:r>
        <w:rPr>
          <w:rFonts w:hint="eastAsia" w:ascii="仿宋_GB2312" w:hAnsi="Calibri" w:eastAsia="仿宋_GB2312"/>
          <w:sz w:val="32"/>
          <w:szCs w:val="32"/>
        </w:rPr>
        <w:t>。重点建设国贸数字跨境电商园、驿淘跨境电商产业园，完善跨境电商产业园运行管理机制，打造“资源集聚+主体协作+业务协同”的新型跨境电子商务生态体系。集聚一批跨境电子商务企业、平台、物流仓储企业，</w:t>
      </w:r>
      <w:r>
        <w:rPr>
          <w:rFonts w:hint="eastAsia" w:ascii="仿宋_GB2312" w:hAnsi="Calibri" w:eastAsia="仿宋_GB2312"/>
          <w:sz w:val="32"/>
          <w:szCs w:val="32"/>
          <w:lang w:eastAsia="zh-CN"/>
        </w:rPr>
        <w:t>给予</w:t>
      </w:r>
      <w:bookmarkStart w:id="81" w:name="_GoBack"/>
      <w:bookmarkEnd w:id="81"/>
      <w:r>
        <w:rPr>
          <w:rFonts w:hint="eastAsia" w:ascii="仿宋_GB2312" w:hAnsi="Calibri" w:eastAsia="仿宋_GB2312"/>
          <w:sz w:val="32"/>
          <w:szCs w:val="32"/>
        </w:rPr>
        <w:t>政策和资金扶持，最终打造宁波重要的跨境电商进出口基地。通过跨境产业园与阿里巴巴、亚马逊、速卖通、wish、等全球知名平台战略合作，根据各类平台主要的市场分布、适销产品，助力奉化传统外贸企业和制造企业在合适的平台上开设店铺。由政府和跨境电商平台协作建立跨境电商风险资金池，防范跨境电商业务流程中的风险。</w:t>
      </w:r>
    </w:p>
    <w:p>
      <w:pPr>
        <w:spacing w:line="600" w:lineRule="exact"/>
        <w:ind w:firstLine="643" w:firstLineChars="200"/>
        <w:outlineLvl w:val="2"/>
        <w:rPr>
          <w:rFonts w:eastAsia="楷体_GB2312"/>
          <w:b/>
          <w:sz w:val="32"/>
          <w:szCs w:val="32"/>
        </w:rPr>
      </w:pPr>
      <w:r>
        <w:rPr>
          <w:rFonts w:hint="eastAsia" w:eastAsia="楷体_GB2312"/>
          <w:b/>
          <w:sz w:val="32"/>
          <w:szCs w:val="32"/>
        </w:rPr>
        <w:t>2.完善跨境电商产业</w:t>
      </w:r>
    </w:p>
    <w:p>
      <w:pPr>
        <w:ind w:firstLine="640" w:firstLineChars="200"/>
        <w:rPr>
          <w:rFonts w:ascii="宋体" w:hAnsi="宋体" w:eastAsia="宋体" w:cs="宋体"/>
          <w:sz w:val="24"/>
        </w:rPr>
      </w:pPr>
      <w:r>
        <w:rPr>
          <w:rFonts w:hint="eastAsia" w:ascii="仿宋_GB2312" w:hAnsi="Calibri" w:eastAsia="仿宋_GB2312"/>
          <w:sz w:val="32"/>
          <w:szCs w:val="32"/>
        </w:rPr>
        <w:t>结合奉化优势产业，整合重点产品资源，打造美容美发产品、健身器材、服装、厨卫家居等优质跨境电商产品线。深化跨境电商业务模式创新，鼓励跨境电商出口海外仓业务，做大做强跨境电商网购保税进口业务，鼓励跨境电商“网购保税+实体新零售”、“跨境电商+保税加工”、市场采购贸易与跨境电商“合作出海”等模式创新，培育跨境电商服务贸易、跨境电商转口贸易、跨境电商企业对企业直接出口等新业务增长。创新管理服务体系，与关、检、汇、税共同搭建跨境电商进出口货物通关监管平台，为跨境电商企业货物进出口提供便利，推进宁波跨境综试区9610/9710/9810出口模式落地。加强产业专业服务配套，鼓励建设跨境电商现代物流体系、跨境电商融资体系，完善运营股权投资方式，支持跨境电商企业投保出口信用保险，促进网红直播和跨境电商有机融合。打通数据资源共享，举办跨境展会、论坛、峰会、沙龙等大型活动，形成良好跨境电商产业发展环境。</w:t>
      </w:r>
    </w:p>
    <w:p>
      <w:pPr>
        <w:spacing w:line="600" w:lineRule="exact"/>
        <w:ind w:firstLine="643" w:firstLineChars="200"/>
        <w:outlineLvl w:val="2"/>
        <w:rPr>
          <w:rFonts w:eastAsia="楷体_GB2312"/>
          <w:b/>
          <w:sz w:val="32"/>
          <w:szCs w:val="32"/>
        </w:rPr>
      </w:pPr>
      <w:r>
        <w:rPr>
          <w:rFonts w:hint="eastAsia" w:eastAsia="楷体_GB2312"/>
          <w:b/>
          <w:sz w:val="32"/>
          <w:szCs w:val="32"/>
        </w:rPr>
        <w:t>3.培引跨境电商主体</w:t>
      </w:r>
    </w:p>
    <w:p>
      <w:pPr>
        <w:ind w:firstLine="600"/>
        <w:rPr>
          <w:rFonts w:ascii="仿宋_GB2312" w:hAnsi="Calibri" w:eastAsia="仿宋_GB2312"/>
          <w:sz w:val="32"/>
          <w:szCs w:val="32"/>
        </w:rPr>
      </w:pPr>
      <w:r>
        <w:rPr>
          <w:rFonts w:hint="eastAsia" w:ascii="仿宋_GB2312" w:hAnsi="Calibri" w:eastAsia="仿宋_GB2312"/>
          <w:sz w:val="32"/>
          <w:szCs w:val="32"/>
        </w:rPr>
        <w:t>鼓励全区传统外贸企业、各类经营主体、各类专业市场积极开展跨境电子商务进出口业务，提供专项诊断报告，结合企业的实际需求，提出一站式解决方案。基于跨境电商品牌孵化器，导入一批高层次跨境电商企业和机构进驻园区创业孵化，选取优质企业，开展进阶孵化，帮助企业做大做强，实现海外品牌注册，鼓励宁波文洲国际贸易有限公司等外贸企业发展工贸一体的跨境电商，增建电商自动分拣拼柜仓库，导入数字营销，建设品牌独立站，并进行产业带数字推广，提升奉化产业集群在海外的知名度。积极招引一批发展前景好、擅长国际贸易的跨境电商企业，着力培育经济新增长点，打造创建国家级、省级和市级示范企业。至2025年，争取累计引进或培育年销售额500-1000万元人民币企业20家，引进或培育年销售额1000万元人民币企业5家。</w:t>
      </w:r>
    </w:p>
    <w:p>
      <w:pPr>
        <w:spacing w:line="600" w:lineRule="exact"/>
        <w:ind w:firstLine="643" w:firstLineChars="200"/>
        <w:outlineLvl w:val="2"/>
        <w:rPr>
          <w:rFonts w:ascii="宋体" w:hAnsi="宋体" w:cs="宋体"/>
          <w:color w:val="FF0000"/>
          <w:sz w:val="36"/>
          <w:szCs w:val="36"/>
          <w:shd w:val="clear" w:color="auto" w:fill="FFFFFF"/>
        </w:rPr>
      </w:pPr>
      <w:r>
        <w:rPr>
          <w:rFonts w:hint="eastAsia" w:eastAsia="楷体_GB2312"/>
          <w:b/>
          <w:sz w:val="32"/>
          <w:szCs w:val="32"/>
        </w:rPr>
        <w:t>4.开展跨境电商培训</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鼓励高校和高职根据自身条件，整合现有师资力量，结合产业发展实际需要开设跨境电子商务专业，</w:t>
      </w:r>
      <w:r>
        <w:rPr>
          <w:rFonts w:ascii="仿宋_GB2312" w:hAnsi="Calibri" w:eastAsia="仿宋_GB2312"/>
          <w:sz w:val="32"/>
          <w:szCs w:val="32"/>
        </w:rPr>
        <w:t>将跨境电商理论与实操课程前置到高校，</w:t>
      </w:r>
      <w:r>
        <w:rPr>
          <w:rFonts w:hint="eastAsia" w:ascii="仿宋_GB2312" w:hAnsi="Calibri" w:eastAsia="仿宋_GB2312"/>
          <w:sz w:val="32"/>
          <w:szCs w:val="32"/>
        </w:rPr>
        <w:t>建立培训基地，引入大学生和职高生开展中短期培训和实操，培育本地人才源。鼓励跨境电商企业通过经认定的社会培训机构，为员工开展跨境电商专业培训。整合国内直播网红资源，培育直播电商专业人才，形成直播培训业态。至2025年，累计完成培养5000名以上淘宝主播，其中月度销售额上万的主播100名以上.</w:t>
      </w:r>
    </w:p>
    <w:p>
      <w:pPr>
        <w:spacing w:line="580" w:lineRule="exact"/>
        <w:ind w:firstLine="643" w:firstLineChars="200"/>
        <w:outlineLvl w:val="1"/>
        <w:rPr>
          <w:rFonts w:ascii="楷体_GB2312" w:hAnsi="黑体" w:eastAsia="楷体_GB2312"/>
          <w:b/>
          <w:sz w:val="32"/>
          <w:szCs w:val="36"/>
        </w:rPr>
      </w:pPr>
      <w:bookmarkStart w:id="72" w:name="_Toc27061"/>
      <w:bookmarkStart w:id="73" w:name="_Toc65691862"/>
      <w:r>
        <w:rPr>
          <w:rFonts w:ascii="楷体_GB2312" w:hAnsi="黑体" w:eastAsia="楷体_GB2312"/>
          <w:b/>
          <w:sz w:val="32"/>
          <w:szCs w:val="36"/>
        </w:rPr>
        <w:t>（</w:t>
      </w:r>
      <w:r>
        <w:rPr>
          <w:rFonts w:hint="eastAsia" w:ascii="楷体_GB2312" w:hAnsi="黑体" w:eastAsia="楷体_GB2312"/>
          <w:b/>
          <w:sz w:val="32"/>
          <w:szCs w:val="36"/>
        </w:rPr>
        <w:t>八</w:t>
      </w:r>
      <w:r>
        <w:rPr>
          <w:rFonts w:ascii="楷体_GB2312" w:hAnsi="黑体" w:eastAsia="楷体_GB2312"/>
          <w:b/>
          <w:sz w:val="32"/>
          <w:szCs w:val="36"/>
        </w:rPr>
        <w:t>）打造开放型</w:t>
      </w:r>
      <w:r>
        <w:rPr>
          <w:rFonts w:hint="eastAsia" w:ascii="楷体_GB2312" w:hAnsi="黑体" w:eastAsia="楷体_GB2312"/>
          <w:b/>
          <w:sz w:val="32"/>
          <w:szCs w:val="36"/>
        </w:rPr>
        <w:t>新</w:t>
      </w:r>
      <w:r>
        <w:rPr>
          <w:rFonts w:ascii="楷体_GB2312" w:hAnsi="黑体" w:eastAsia="楷体_GB2312"/>
          <w:b/>
          <w:sz w:val="32"/>
          <w:szCs w:val="36"/>
        </w:rPr>
        <w:t>平台</w:t>
      </w:r>
      <w:bookmarkEnd w:id="72"/>
      <w:bookmarkEnd w:id="73"/>
    </w:p>
    <w:p>
      <w:pPr>
        <w:spacing w:line="600" w:lineRule="exact"/>
        <w:ind w:firstLine="643" w:firstLineChars="200"/>
        <w:outlineLvl w:val="2"/>
        <w:rPr>
          <w:rFonts w:ascii="宋体" w:hAnsi="宋体" w:cs="宋体"/>
          <w:color w:val="FF0000"/>
          <w:sz w:val="36"/>
          <w:szCs w:val="36"/>
          <w:shd w:val="clear" w:color="auto" w:fill="FFFFFF"/>
        </w:rPr>
      </w:pPr>
      <w:r>
        <w:rPr>
          <w:rFonts w:hint="eastAsia" w:eastAsia="楷体_GB2312"/>
          <w:b/>
          <w:sz w:val="32"/>
          <w:szCs w:val="32"/>
        </w:rPr>
        <w:t>1.提升奉达综合广场</w:t>
      </w:r>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秉持</w:t>
      </w:r>
      <w:r>
        <w:rPr>
          <w:rFonts w:hint="eastAsia" w:ascii="仿宋_GB2312" w:hAnsi="Calibri" w:eastAsia="仿宋_GB2312"/>
          <w:sz w:val="32"/>
          <w:szCs w:val="32"/>
        </w:rPr>
        <w:t>“</w:t>
      </w:r>
      <w:r>
        <w:rPr>
          <w:rFonts w:ascii="仿宋_GB2312" w:hAnsi="Calibri" w:eastAsia="仿宋_GB2312"/>
          <w:sz w:val="32"/>
          <w:szCs w:val="32"/>
        </w:rPr>
        <w:t>资源共享，商业聚集</w:t>
      </w:r>
      <w:r>
        <w:rPr>
          <w:rFonts w:hint="eastAsia" w:ascii="仿宋_GB2312" w:hAnsi="Calibri" w:eastAsia="仿宋_GB2312"/>
          <w:sz w:val="32"/>
          <w:szCs w:val="32"/>
        </w:rPr>
        <w:t>”</w:t>
      </w:r>
      <w:r>
        <w:rPr>
          <w:rFonts w:ascii="仿宋_GB2312" w:hAnsi="Calibri" w:eastAsia="仿宋_GB2312"/>
          <w:sz w:val="32"/>
          <w:szCs w:val="32"/>
        </w:rPr>
        <w:t>和</w:t>
      </w:r>
      <w:r>
        <w:rPr>
          <w:rFonts w:hint="eastAsia" w:ascii="仿宋_GB2312" w:hAnsi="Calibri" w:eastAsia="仿宋_GB2312"/>
          <w:sz w:val="32"/>
          <w:szCs w:val="32"/>
        </w:rPr>
        <w:t>“</w:t>
      </w:r>
      <w:r>
        <w:rPr>
          <w:rFonts w:ascii="仿宋_GB2312" w:hAnsi="Calibri" w:eastAsia="仿宋_GB2312"/>
          <w:sz w:val="32"/>
          <w:szCs w:val="32"/>
        </w:rPr>
        <w:t>线上线下融合</w:t>
      </w:r>
      <w:r>
        <w:rPr>
          <w:rFonts w:hint="eastAsia" w:ascii="仿宋_GB2312" w:hAnsi="Calibri" w:eastAsia="仿宋_GB2312"/>
          <w:sz w:val="32"/>
          <w:szCs w:val="32"/>
        </w:rPr>
        <w:t>”</w:t>
      </w:r>
      <w:r>
        <w:rPr>
          <w:rFonts w:ascii="仿宋_GB2312" w:hAnsi="Calibri" w:eastAsia="仿宋_GB2312"/>
          <w:sz w:val="32"/>
          <w:szCs w:val="32"/>
        </w:rPr>
        <w:t>理念，</w:t>
      </w:r>
      <w:r>
        <w:rPr>
          <w:rFonts w:hint="eastAsia" w:ascii="仿宋_GB2312" w:hAnsi="Calibri" w:eastAsia="仿宋_GB2312"/>
          <w:sz w:val="32"/>
          <w:szCs w:val="32"/>
        </w:rPr>
        <w:t>打通实体企业电商、网红直播和跨境电商业务，导入休闲商务、</w:t>
      </w:r>
      <w:r>
        <w:rPr>
          <w:rFonts w:ascii="仿宋_GB2312" w:hAnsi="Calibri" w:eastAsia="仿宋_GB2312"/>
          <w:sz w:val="32"/>
          <w:szCs w:val="32"/>
        </w:rPr>
        <w:t>教育培训、主题餐饮、</w:t>
      </w:r>
      <w:r>
        <w:rPr>
          <w:rFonts w:hint="eastAsia" w:ascii="仿宋_GB2312" w:hAnsi="Calibri" w:eastAsia="仿宋_GB2312"/>
          <w:sz w:val="32"/>
          <w:szCs w:val="32"/>
        </w:rPr>
        <w:t>运动健身、</w:t>
      </w:r>
      <w:r>
        <w:rPr>
          <w:rFonts w:ascii="仿宋_GB2312" w:hAnsi="Calibri" w:eastAsia="仿宋_GB2312"/>
          <w:sz w:val="32"/>
          <w:szCs w:val="32"/>
        </w:rPr>
        <w:t>快时尚精品、3C体验</w:t>
      </w:r>
      <w:r>
        <w:rPr>
          <w:rFonts w:hint="eastAsia" w:ascii="仿宋_GB2312" w:hAnsi="Calibri" w:eastAsia="仿宋_GB2312"/>
          <w:sz w:val="32"/>
          <w:szCs w:val="32"/>
        </w:rPr>
        <w:t>、影视资源</w:t>
      </w:r>
      <w:r>
        <w:rPr>
          <w:rFonts w:ascii="仿宋_GB2312" w:hAnsi="Calibri" w:eastAsia="仿宋_GB2312"/>
          <w:sz w:val="32"/>
          <w:szCs w:val="32"/>
        </w:rPr>
        <w:t>等休闲娱乐</w:t>
      </w:r>
      <w:r>
        <w:rPr>
          <w:rFonts w:hint="eastAsia" w:ascii="仿宋_GB2312" w:hAnsi="Calibri" w:eastAsia="仿宋_GB2312"/>
          <w:sz w:val="32"/>
          <w:szCs w:val="32"/>
        </w:rPr>
        <w:t>和夜市经济</w:t>
      </w:r>
      <w:r>
        <w:rPr>
          <w:rFonts w:ascii="仿宋_GB2312" w:hAnsi="Calibri" w:eastAsia="仿宋_GB2312"/>
          <w:sz w:val="32"/>
          <w:szCs w:val="32"/>
        </w:rPr>
        <w:t>业态，</w:t>
      </w:r>
      <w:r>
        <w:rPr>
          <w:rFonts w:hint="eastAsia" w:ascii="仿宋_GB2312" w:hAnsi="Calibri" w:eastAsia="仿宋_GB2312"/>
          <w:sz w:val="32"/>
          <w:szCs w:val="32"/>
        </w:rPr>
        <w:t>采取统一运营、统一管理和线上直播销售、线下实体体验的管理运营模式，结合工业旅游、绿色经济，</w:t>
      </w:r>
      <w:r>
        <w:rPr>
          <w:rFonts w:ascii="仿宋_GB2312" w:hAnsi="Calibri" w:eastAsia="仿宋_GB2312"/>
          <w:sz w:val="32"/>
          <w:szCs w:val="32"/>
        </w:rPr>
        <w:t>举办服装展销会、家居展销会、美食节、音乐节、短视频创意大赛等一系列商贸文旅活动，</w:t>
      </w:r>
      <w:r>
        <w:rPr>
          <w:rFonts w:hint="eastAsia" w:ascii="仿宋_GB2312" w:hAnsi="Calibri" w:eastAsia="仿宋_GB2312"/>
          <w:sz w:val="32"/>
          <w:szCs w:val="32"/>
        </w:rPr>
        <w:t>打造成为“宁波网红打卡点”，打造联合精品，形成首发经济。</w:t>
      </w:r>
      <w:r>
        <w:rPr>
          <w:rFonts w:ascii="仿宋_GB2312" w:hAnsi="Calibri" w:eastAsia="仿宋_GB2312"/>
          <w:sz w:val="32"/>
          <w:szCs w:val="32"/>
        </w:rPr>
        <w:t>免费帮扶</w:t>
      </w:r>
      <w:r>
        <w:rPr>
          <w:rFonts w:hint="eastAsia" w:ascii="仿宋_GB2312" w:hAnsi="Calibri" w:eastAsia="仿宋_GB2312"/>
          <w:sz w:val="32"/>
          <w:szCs w:val="32"/>
        </w:rPr>
        <w:t>入驻</w:t>
      </w:r>
      <w:r>
        <w:rPr>
          <w:rFonts w:ascii="仿宋_GB2312" w:hAnsi="Calibri" w:eastAsia="仿宋_GB2312"/>
          <w:sz w:val="32"/>
          <w:szCs w:val="32"/>
        </w:rPr>
        <w:t>企业孵化销售平台，提供主播输送，集产、教、娱、销于一体</w:t>
      </w:r>
      <w:r>
        <w:rPr>
          <w:rFonts w:hint="eastAsia" w:ascii="仿宋_GB2312" w:hAnsi="Calibri" w:eastAsia="仿宋_GB2312"/>
          <w:sz w:val="32"/>
          <w:szCs w:val="32"/>
        </w:rPr>
        <w:t>，探索基于奉化特色的类奥特莱斯概念的工厂直销实体店，形成线上线下全面融合、网红直播带货的新零售模式，由厂方独立或者第三方运作。</w:t>
      </w:r>
    </w:p>
    <w:p>
      <w:pPr>
        <w:spacing w:line="600" w:lineRule="exact"/>
        <w:ind w:firstLine="643" w:firstLineChars="200"/>
        <w:outlineLvl w:val="2"/>
        <w:rPr>
          <w:rFonts w:eastAsia="楷体_GB2312"/>
          <w:b/>
          <w:sz w:val="32"/>
          <w:szCs w:val="32"/>
        </w:rPr>
      </w:pPr>
      <w:r>
        <w:rPr>
          <w:rFonts w:hint="eastAsia" w:eastAsia="楷体_GB2312"/>
          <w:b/>
          <w:sz w:val="32"/>
          <w:szCs w:val="32"/>
        </w:rPr>
        <w:t>2.赋新能中信综合体</w:t>
      </w:r>
    </w:p>
    <w:p>
      <w:pPr>
        <w:spacing w:line="580" w:lineRule="exact"/>
        <w:ind w:firstLine="640" w:firstLineChars="200"/>
        <w:rPr>
          <w:rFonts w:ascii="仿宋_GB2312" w:hAnsi="Calibri" w:eastAsia="仿宋_GB2312"/>
          <w:sz w:val="32"/>
          <w:szCs w:val="32"/>
        </w:rPr>
      </w:pPr>
      <w:r>
        <w:rPr>
          <w:rFonts w:hint="eastAsia" w:ascii="仿宋_GB2312" w:hAnsi="Calibri" w:eastAsia="仿宋_GB2312"/>
          <w:sz w:val="32"/>
          <w:szCs w:val="32"/>
        </w:rPr>
        <w:t>拓展奉化与中信城开</w:t>
      </w:r>
      <w:r>
        <w:rPr>
          <w:rFonts w:ascii="仿宋_GB2312" w:hAnsi="Calibri" w:eastAsia="仿宋_GB2312"/>
          <w:sz w:val="32"/>
          <w:szCs w:val="32"/>
        </w:rPr>
        <w:t>PPP合作模式内涵，</w:t>
      </w:r>
      <w:r>
        <w:rPr>
          <w:rFonts w:hint="eastAsia" w:ascii="仿宋_GB2312" w:hAnsi="Calibri" w:eastAsia="仿宋_GB2312"/>
          <w:sz w:val="32"/>
          <w:szCs w:val="32"/>
        </w:rPr>
        <w:t>建设成为具有更高产业层次和对外吸引力的开放型专业平台样板，</w:t>
      </w:r>
      <w:r>
        <w:rPr>
          <w:rFonts w:ascii="仿宋_GB2312" w:hAnsi="Calibri" w:eastAsia="仿宋_GB2312"/>
          <w:sz w:val="32"/>
          <w:szCs w:val="32"/>
        </w:rPr>
        <w:t>以</w:t>
      </w:r>
      <w:r>
        <w:rPr>
          <w:rFonts w:hint="eastAsia" w:ascii="仿宋_GB2312" w:hAnsi="Calibri" w:eastAsia="仿宋_GB2312"/>
          <w:sz w:val="32"/>
          <w:szCs w:val="32"/>
        </w:rPr>
        <w:t>中信综合体为试点，打造奉化区产业发展的创新策源地以及与国际化对接的桥梁，</w:t>
      </w:r>
      <w:r>
        <w:rPr>
          <w:rFonts w:hint="eastAsia" w:ascii="仿宋_GB2312" w:hAnsi="Calibri" w:eastAsia="仿宋_GB2312" w:cs="Times New Roman"/>
          <w:sz w:val="32"/>
          <w:szCs w:val="32"/>
        </w:rPr>
        <w:t>建立对外创投高新企业孵化基地，培育外贸发展集聚区，依托中信银行等金融企业的影响力和民间资本开展海内外</w:t>
      </w:r>
      <w:r>
        <w:rPr>
          <w:rFonts w:hint="eastAsia" w:ascii="仿宋_GB2312" w:hAnsi="Calibri" w:eastAsia="仿宋_GB2312"/>
          <w:sz w:val="32"/>
          <w:szCs w:val="32"/>
        </w:rPr>
        <w:t>高新技术或明星</w:t>
      </w:r>
      <w:r>
        <w:rPr>
          <w:rFonts w:hint="eastAsia" w:ascii="仿宋_GB2312" w:hAnsi="Calibri" w:eastAsia="仿宋_GB2312" w:cs="Times New Roman"/>
          <w:sz w:val="32"/>
          <w:szCs w:val="32"/>
        </w:rPr>
        <w:t>企业兼并</w:t>
      </w:r>
      <w:r>
        <w:rPr>
          <w:rFonts w:hint="eastAsia" w:ascii="仿宋_GB2312" w:hAnsi="Calibri" w:eastAsia="仿宋_GB2312"/>
          <w:sz w:val="32"/>
          <w:szCs w:val="32"/>
        </w:rPr>
        <w:t>收购，</w:t>
      </w:r>
      <w:r>
        <w:rPr>
          <w:rFonts w:hint="eastAsia" w:ascii="仿宋_GB2312" w:hAnsi="Calibri" w:eastAsia="仿宋_GB2312" w:cs="Times New Roman"/>
          <w:sz w:val="32"/>
          <w:szCs w:val="32"/>
        </w:rPr>
        <w:t>以权益性融资的形式引进海内外优秀高新技术企业落户奉化，实现资金走出去，技术引进来。</w:t>
      </w:r>
      <w:r>
        <w:rPr>
          <w:rFonts w:ascii="仿宋_GB2312" w:hAnsi="Calibri" w:eastAsia="仿宋_GB2312"/>
          <w:sz w:val="32"/>
          <w:szCs w:val="32"/>
        </w:rPr>
        <w:t>以大平台、大产业、大项目、大企业建设为抓手，主攻新能源汽车、整机装备、工业机器人等高端制造业项目，积极对接世界500强、中国500强和央企国企，招引一批对</w:t>
      </w:r>
      <w:r>
        <w:rPr>
          <w:rFonts w:hint="eastAsia" w:ascii="仿宋_GB2312" w:hAnsi="Calibri" w:eastAsia="仿宋_GB2312"/>
          <w:sz w:val="32"/>
          <w:szCs w:val="32"/>
        </w:rPr>
        <w:t>奉化</w:t>
      </w:r>
      <w:r>
        <w:rPr>
          <w:rFonts w:ascii="仿宋_GB2312" w:hAnsi="Calibri" w:eastAsia="仿宋_GB2312"/>
          <w:sz w:val="32"/>
          <w:szCs w:val="32"/>
        </w:rPr>
        <w:t>经济有支撑力和集聚力的重大产业项目。</w:t>
      </w:r>
      <w:r>
        <w:rPr>
          <w:rFonts w:hint="eastAsia" w:ascii="仿宋_GB2312" w:hAnsi="Calibri" w:eastAsia="仿宋_GB2312"/>
          <w:sz w:val="32"/>
          <w:szCs w:val="32"/>
        </w:rPr>
        <w:t>取得成效后，因地制宜迅速复刻推广该新模式。</w:t>
      </w:r>
    </w:p>
    <w:p>
      <w:pPr>
        <w:spacing w:line="580" w:lineRule="exact"/>
        <w:ind w:firstLine="640" w:firstLineChars="200"/>
        <w:outlineLvl w:val="0"/>
        <w:rPr>
          <w:rFonts w:ascii="黑体" w:hAnsi="黑体" w:eastAsia="黑体"/>
          <w:sz w:val="32"/>
          <w:szCs w:val="36"/>
        </w:rPr>
      </w:pPr>
      <w:bookmarkStart w:id="74" w:name="_Toc65691863"/>
      <w:r>
        <w:rPr>
          <w:rFonts w:hint="eastAsia" w:ascii="黑体" w:hAnsi="黑体" w:eastAsia="黑体"/>
          <w:sz w:val="32"/>
          <w:szCs w:val="36"/>
        </w:rPr>
        <w:t>五、保障措施</w:t>
      </w:r>
      <w:bookmarkEnd w:id="74"/>
    </w:p>
    <w:p>
      <w:pPr>
        <w:spacing w:before="156" w:beforeLines="50" w:line="580" w:lineRule="exact"/>
        <w:ind w:firstLine="643" w:firstLineChars="200"/>
        <w:outlineLvl w:val="1"/>
        <w:rPr>
          <w:rFonts w:ascii="楷体_GB2312" w:hAnsi="黑体" w:eastAsia="楷体_GB2312"/>
          <w:b/>
          <w:sz w:val="32"/>
          <w:szCs w:val="36"/>
        </w:rPr>
      </w:pPr>
      <w:bookmarkStart w:id="75" w:name="_Toc65691864"/>
      <w:r>
        <w:rPr>
          <w:rFonts w:hint="eastAsia" w:ascii="楷体_GB2312" w:hAnsi="黑体" w:eastAsia="楷体_GB2312"/>
          <w:b/>
          <w:sz w:val="32"/>
          <w:szCs w:val="36"/>
        </w:rPr>
        <w:t>（一）组织保障</w:t>
      </w:r>
      <w:bookmarkEnd w:id="75"/>
    </w:p>
    <w:p>
      <w:pPr>
        <w:spacing w:line="580" w:lineRule="exact"/>
        <w:ind w:firstLine="640" w:firstLineChars="200"/>
        <w:rPr>
          <w:rFonts w:ascii="仿宋_GB2312" w:hAnsi="Calibri" w:eastAsia="仿宋_GB2312"/>
          <w:sz w:val="32"/>
          <w:szCs w:val="32"/>
        </w:rPr>
      </w:pPr>
      <w:r>
        <w:rPr>
          <w:rFonts w:ascii="仿宋_GB2312" w:hAnsi="Calibri" w:eastAsia="仿宋_GB2312"/>
          <w:sz w:val="32"/>
          <w:szCs w:val="32"/>
        </w:rPr>
        <w:t>加强组织领导，在</w:t>
      </w:r>
      <w:r>
        <w:rPr>
          <w:rFonts w:hint="eastAsia" w:ascii="仿宋_GB2312" w:hAnsi="Calibri" w:eastAsia="仿宋_GB2312"/>
          <w:sz w:val="32"/>
          <w:szCs w:val="32"/>
        </w:rPr>
        <w:t>区</w:t>
      </w:r>
      <w:r>
        <w:rPr>
          <w:rFonts w:ascii="仿宋_GB2312" w:hAnsi="Calibri" w:eastAsia="仿宋_GB2312"/>
          <w:sz w:val="32"/>
          <w:szCs w:val="32"/>
        </w:rPr>
        <w:t>委</w:t>
      </w:r>
      <w:r>
        <w:rPr>
          <w:rFonts w:hint="eastAsia" w:ascii="仿宋_GB2312" w:hAnsi="Calibri" w:eastAsia="仿宋_GB2312"/>
          <w:sz w:val="32"/>
          <w:szCs w:val="32"/>
        </w:rPr>
        <w:t>区</w:t>
      </w:r>
      <w:r>
        <w:rPr>
          <w:rFonts w:ascii="仿宋_GB2312" w:hAnsi="Calibri" w:eastAsia="仿宋_GB2312"/>
          <w:sz w:val="32"/>
          <w:szCs w:val="32"/>
        </w:rPr>
        <w:t>政府的指导下，</w:t>
      </w:r>
      <w:r>
        <w:rPr>
          <w:rFonts w:hint="eastAsia" w:ascii="仿宋_GB2312" w:hAnsi="Calibri" w:eastAsia="仿宋_GB2312"/>
          <w:sz w:val="32"/>
          <w:szCs w:val="32"/>
        </w:rPr>
        <w:t>调整设立奉化开放型经济工作领导小组及</w:t>
      </w:r>
      <w:r>
        <w:rPr>
          <w:rFonts w:hint="eastAsia" w:ascii="仿宋_GB2312" w:hAnsi="Calibri" w:eastAsia="仿宋_GB2312" w:cs="Times New Roman"/>
          <w:sz w:val="32"/>
          <w:szCs w:val="32"/>
        </w:rPr>
        <w:t>办公室，由区政府主要领导任组长，分管副区长任副组长，商务局、区府办、财政局、海关、税务局、贸促会、人民银行奉化支行、中国信保南三县办事处等各外口经济部门负责人任成员。区商务局牵头领导小组办公室的日常运作，</w:t>
      </w:r>
      <w:r>
        <w:rPr>
          <w:rFonts w:ascii="仿宋_GB2312" w:hAnsi="Calibri" w:eastAsia="仿宋_GB2312"/>
          <w:sz w:val="32"/>
          <w:szCs w:val="32"/>
        </w:rPr>
        <w:t>各相关部门依据职责分工，进一步建立完善开放型经济发展的协调合作机制，</w:t>
      </w:r>
      <w:r>
        <w:rPr>
          <w:rFonts w:hint="eastAsia" w:ascii="仿宋_GB2312" w:hAnsi="Calibri" w:eastAsia="仿宋_GB2312" w:cs="Times New Roman"/>
          <w:sz w:val="32"/>
          <w:szCs w:val="32"/>
        </w:rPr>
        <w:t>区府办和财政局分别落实督促检查和经费保障工作。</w:t>
      </w:r>
      <w:r>
        <w:rPr>
          <w:rFonts w:hint="eastAsia" w:ascii="仿宋_GB2312" w:hAnsi="Calibri" w:eastAsia="仿宋_GB2312"/>
          <w:sz w:val="32"/>
          <w:szCs w:val="32"/>
        </w:rPr>
        <w:t>建立目标考核指标体系和考核办法，将开放型经济高质量发展纳入对相关部门督导考核内容，确保责任落实到位。</w:t>
      </w:r>
      <w:r>
        <w:rPr>
          <w:rFonts w:hint="eastAsia" w:ascii="仿宋_GB2312" w:hAnsi="Calibri" w:eastAsia="仿宋_GB2312" w:cs="Times New Roman"/>
          <w:sz w:val="32"/>
          <w:szCs w:val="32"/>
        </w:rPr>
        <w:t>开放型经济工作领导小组每半年组织召开一次工作推进会议，听取工作汇报，决策部署阶段性工作。</w:t>
      </w:r>
    </w:p>
    <w:p>
      <w:pPr>
        <w:spacing w:before="156" w:beforeLines="50" w:line="580" w:lineRule="exact"/>
        <w:ind w:firstLine="643" w:firstLineChars="200"/>
        <w:outlineLvl w:val="1"/>
        <w:rPr>
          <w:rFonts w:ascii="楷体_GB2312" w:hAnsi="黑体" w:eastAsia="楷体_GB2312"/>
          <w:b/>
          <w:sz w:val="32"/>
          <w:szCs w:val="36"/>
        </w:rPr>
      </w:pPr>
      <w:bookmarkStart w:id="76" w:name="_Toc65691865"/>
      <w:r>
        <w:rPr>
          <w:rFonts w:hint="eastAsia" w:ascii="楷体_GB2312" w:hAnsi="黑体" w:eastAsia="楷体_GB2312"/>
          <w:b/>
          <w:sz w:val="32"/>
          <w:szCs w:val="36"/>
        </w:rPr>
        <w:t>（二）</w:t>
      </w:r>
      <w:r>
        <w:rPr>
          <w:rFonts w:ascii="楷体_GB2312" w:hAnsi="黑体" w:eastAsia="楷体_GB2312"/>
          <w:b/>
          <w:sz w:val="32"/>
          <w:szCs w:val="36"/>
        </w:rPr>
        <w:t>政策</w:t>
      </w:r>
      <w:r>
        <w:rPr>
          <w:rFonts w:hint="eastAsia" w:ascii="楷体_GB2312" w:hAnsi="黑体" w:eastAsia="楷体_GB2312"/>
          <w:b/>
          <w:sz w:val="32"/>
          <w:szCs w:val="36"/>
        </w:rPr>
        <w:t>保障</w:t>
      </w:r>
      <w:bookmarkEnd w:id="76"/>
    </w:p>
    <w:p>
      <w:pPr>
        <w:ind w:firstLine="602"/>
        <w:rPr>
          <w:rFonts w:ascii="Times New Roman" w:hAnsi="Times New Roman" w:eastAsia="宋体"/>
          <w:color w:val="FF0000"/>
          <w:szCs w:val="24"/>
        </w:rPr>
      </w:pPr>
      <w:r>
        <w:rPr>
          <w:rFonts w:hint="eastAsia" w:ascii="仿宋_GB2312" w:hAnsi="Calibri" w:eastAsia="仿宋_GB2312" w:cs="Times New Roman"/>
          <w:sz w:val="32"/>
          <w:szCs w:val="32"/>
        </w:rPr>
        <w:t>持续</w:t>
      </w:r>
      <w:r>
        <w:rPr>
          <w:rFonts w:ascii="仿宋_GB2312" w:hAnsi="Calibri" w:eastAsia="仿宋_GB2312" w:cs="Times New Roman"/>
          <w:sz w:val="32"/>
          <w:szCs w:val="32"/>
        </w:rPr>
        <w:t>推进</w:t>
      </w:r>
      <w:r>
        <w:rPr>
          <w:rFonts w:hint="eastAsia" w:ascii="仿宋_GB2312" w:hAnsi="Calibri" w:eastAsia="仿宋_GB2312" w:cs="Times New Roman"/>
          <w:sz w:val="32"/>
          <w:szCs w:val="32"/>
        </w:rPr>
        <w:t>奉化区开放型经济</w:t>
      </w:r>
      <w:r>
        <w:rPr>
          <w:rFonts w:hint="eastAsia" w:ascii="仿宋_GB2312" w:hAnsi="Calibri" w:eastAsia="仿宋_GB2312"/>
          <w:sz w:val="32"/>
          <w:szCs w:val="32"/>
        </w:rPr>
        <w:t>高质量发展政策27条，加强部门间政策协调，增强财税、金融等政策的促进作用，营造良好的开放型经济发展政策环境。完善开放型经济促进政策，坚持精准施策，加大对稳定增长、转型升级、培育优势、公共服务、防范风险等方面的支持力度，增强政策的战略性、导向性和稳定性。</w:t>
      </w:r>
      <w:r>
        <w:rPr>
          <w:rFonts w:ascii="仿宋_GB2312" w:hAnsi="Calibri" w:eastAsia="仿宋_GB2312"/>
          <w:sz w:val="32"/>
          <w:szCs w:val="32"/>
        </w:rPr>
        <w:t>加强招商引资和对外经贸政策的梳理、修订和汇编工作，加大宣传和推介力度，帮助企业用好、用足政策，发挥政策在招商引资中的经济杠杆作用。强化政策创新，重点加大对引进新兴产业、跨国公司总部和金融机构等功能性机构的支持力度，</w:t>
      </w:r>
      <w:r>
        <w:rPr>
          <w:rFonts w:hint="eastAsia" w:ascii="仿宋_GB2312" w:hAnsi="Calibri" w:eastAsia="仿宋_GB2312"/>
          <w:sz w:val="32"/>
          <w:szCs w:val="32"/>
        </w:rPr>
        <w:t>推进有关外经合作及外贸企业出国参展、参保出口信用保险、境外注册商标、设立境外公司、境外工程承包等开拓国际市场扶持政策。</w:t>
      </w:r>
      <w:r>
        <w:rPr>
          <w:rFonts w:ascii="仿宋_GB2312" w:hAnsi="Calibri" w:eastAsia="仿宋_GB2312"/>
          <w:sz w:val="32"/>
          <w:szCs w:val="32"/>
        </w:rPr>
        <w:t>注重政策导向由扩规模向提质量、促转型转变。</w:t>
      </w:r>
      <w:r>
        <w:rPr>
          <w:rFonts w:hint="eastAsia" w:ascii="仿宋_GB2312" w:hAnsi="Calibri" w:eastAsia="仿宋_GB2312"/>
          <w:sz w:val="32"/>
          <w:szCs w:val="32"/>
        </w:rPr>
        <w:t>强化政策落实，加大督促检查力度，确保政策发挥效应。</w:t>
      </w:r>
    </w:p>
    <w:p>
      <w:pPr>
        <w:spacing w:line="580" w:lineRule="exact"/>
        <w:ind w:firstLine="643" w:firstLineChars="200"/>
        <w:outlineLvl w:val="1"/>
        <w:rPr>
          <w:rFonts w:ascii="楷体_GB2312" w:hAnsi="黑体" w:eastAsia="楷体_GB2312"/>
          <w:snapToGrid w:val="0"/>
          <w:sz w:val="32"/>
          <w:szCs w:val="36"/>
        </w:rPr>
      </w:pPr>
      <w:bookmarkStart w:id="77" w:name="_Toc65691866"/>
      <w:r>
        <w:rPr>
          <w:rFonts w:hint="eastAsia" w:ascii="楷体_GB2312" w:hAnsi="黑体" w:eastAsia="楷体_GB2312"/>
          <w:b/>
          <w:sz w:val="32"/>
          <w:szCs w:val="36"/>
        </w:rPr>
        <w:t>（三）要素保障</w:t>
      </w:r>
      <w:bookmarkEnd w:id="77"/>
    </w:p>
    <w:p>
      <w:pPr>
        <w:ind w:firstLine="602"/>
        <w:rPr>
          <w:rFonts w:ascii="仿宋_GB2312" w:hAnsi="Calibri" w:eastAsia="仿宋_GB2312" w:cs="Times New Roman"/>
          <w:sz w:val="32"/>
          <w:szCs w:val="32"/>
        </w:rPr>
      </w:pPr>
      <w:r>
        <w:rPr>
          <w:rFonts w:hint="eastAsia" w:ascii="仿宋_GB2312" w:hAnsi="Calibri" w:eastAsia="仿宋_GB2312"/>
          <w:sz w:val="32"/>
          <w:szCs w:val="32"/>
        </w:rPr>
        <w:t>探索土地弹性年期出让和差别化低价政策，进出口企业凡符合宁波市《加快培育制造业百强企业的实施意见》中各项条件的企业，给予享受扶持优惠政策，龙头企业总部或地区总部自建办公物业用地，争取纳入省市重点建设项目计划，由省市共同安排土地利用计划指标。</w:t>
      </w:r>
    </w:p>
    <w:p>
      <w:pPr>
        <w:ind w:firstLine="602"/>
        <w:rPr>
          <w:rFonts w:ascii="仿宋_GB2312" w:hAnsi="Calibri" w:eastAsia="仿宋_GB2312"/>
          <w:sz w:val="32"/>
          <w:szCs w:val="32"/>
        </w:rPr>
      </w:pPr>
      <w:r>
        <w:rPr>
          <w:rFonts w:hint="eastAsia" w:ascii="仿宋_GB2312" w:hAnsi="Calibri" w:eastAsia="仿宋_GB2312"/>
          <w:sz w:val="32"/>
          <w:szCs w:val="32"/>
        </w:rPr>
        <w:t>切实加大资金保障力度，</w:t>
      </w:r>
      <w:r>
        <w:rPr>
          <w:rFonts w:hint="eastAsia" w:ascii="仿宋_GB2312" w:hAnsi="Calibri" w:eastAsia="仿宋_GB2312" w:cs="Times New Roman"/>
          <w:sz w:val="32"/>
          <w:szCs w:val="32"/>
        </w:rPr>
        <w:t>每年在安排开放型经济政策预算资金的基础上，支持招引企业做强做大，支持服务贸易发展，</w:t>
      </w:r>
      <w:r>
        <w:rPr>
          <w:rFonts w:hint="eastAsia" w:ascii="仿宋_GB2312" w:hAnsi="Calibri" w:eastAsia="仿宋_GB2312"/>
          <w:sz w:val="32"/>
          <w:szCs w:val="32"/>
        </w:rPr>
        <w:t>设立开放型经济倍增转型计划政策资金和应对中美经贸摩擦专项政策资金，落实奉化区国家外贸转型升级基地专项资金，支持在基地内外贸企业发展；建立完善外贸一起“订单+清单”常态化融资对接机制，支持创新无抵押信贷工具，切实保障外贸企业融资需求。完善出口避险及减负服务体系，扩大信保扶持资金规模，降低小微企业政府统保平台费率，加大对北美市场尤其是新兴市场承保支持力度；支持企业“走出去”，</w:t>
      </w:r>
      <w:r>
        <w:rPr>
          <w:rFonts w:hint="eastAsia" w:ascii="仿宋_GB2312" w:hAnsi="Calibri" w:eastAsia="仿宋_GB2312" w:cs="Times New Roman"/>
          <w:sz w:val="32"/>
          <w:szCs w:val="32"/>
        </w:rPr>
        <w:t>对参加R</w:t>
      </w:r>
      <w:r>
        <w:rPr>
          <w:rFonts w:ascii="仿宋_GB2312" w:hAnsi="Calibri" w:eastAsia="仿宋_GB2312" w:cs="Times New Roman"/>
          <w:sz w:val="32"/>
          <w:szCs w:val="32"/>
        </w:rPr>
        <w:t>ECP</w:t>
      </w:r>
      <w:r>
        <w:rPr>
          <w:rFonts w:hint="eastAsia" w:ascii="仿宋_GB2312" w:hAnsi="Calibri" w:eastAsia="仿宋_GB2312" w:cs="Times New Roman"/>
          <w:sz w:val="32"/>
          <w:szCs w:val="32"/>
        </w:rPr>
        <w:t>、“一带一路”沿线国家、中东欧等境外经贸交流和投资企业予以重点补贴，提高企业信保保费补贴力度和最高补助限额，鼓励企业参加境外优质项目并购、购买知识产权、引进专业技术团队，增加对区内企业境外投资资产的信用保险补贴项目；</w:t>
      </w:r>
      <w:r>
        <w:rPr>
          <w:rFonts w:hint="eastAsia" w:ascii="仿宋_GB2312" w:hAnsi="Calibri" w:eastAsia="仿宋_GB2312"/>
          <w:sz w:val="32"/>
          <w:szCs w:val="32"/>
        </w:rPr>
        <w:t>设立电子商务发展专项资金，鼓励举办培训论坛、资源对接等电商类专项活动；</w:t>
      </w:r>
      <w:r>
        <w:rPr>
          <w:rFonts w:hint="eastAsia" w:ascii="仿宋_GB2312" w:hAnsi="Calibri" w:eastAsia="仿宋_GB2312" w:cs="Times New Roman"/>
          <w:sz w:val="32"/>
          <w:szCs w:val="32"/>
        </w:rPr>
        <w:t>做好融资服务和支持，鼓励各类金融机构提供金融支持，开展应收账款、存货、订单等质押融资，依托大型电商平台加强对中小微外贸企业直贷业务。</w:t>
      </w:r>
    </w:p>
    <w:p>
      <w:pPr>
        <w:ind w:firstLine="602"/>
        <w:rPr>
          <w:rFonts w:ascii="仿宋_GB2312" w:hAnsi="Calibri" w:eastAsia="仿宋_GB2312" w:cs="Times New Roman"/>
          <w:sz w:val="32"/>
          <w:szCs w:val="32"/>
        </w:rPr>
      </w:pPr>
      <w:r>
        <w:rPr>
          <w:rFonts w:hint="eastAsia" w:ascii="仿宋_GB2312" w:hAnsi="Calibri" w:eastAsia="仿宋_GB2312"/>
          <w:sz w:val="32"/>
          <w:szCs w:val="32"/>
        </w:rPr>
        <w:t>加快高水平人才引进，</w:t>
      </w:r>
      <w:r>
        <w:rPr>
          <w:rFonts w:ascii="仿宋_GB2312" w:hAnsi="Calibri" w:eastAsia="仿宋_GB2312" w:cs="Times New Roman"/>
          <w:sz w:val="32"/>
          <w:szCs w:val="32"/>
        </w:rPr>
        <w:t>深</w:t>
      </w:r>
      <w:r>
        <w:rPr>
          <w:rFonts w:hint="eastAsia" w:ascii="仿宋_GB2312" w:hAnsi="Calibri" w:eastAsia="仿宋_GB2312" w:cs="Times New Roman"/>
          <w:sz w:val="32"/>
          <w:szCs w:val="32"/>
        </w:rPr>
        <w:t>入实施</w:t>
      </w:r>
      <w:r>
        <w:rPr>
          <w:rFonts w:ascii="仿宋_GB2312" w:hAnsi="Calibri" w:eastAsia="仿宋_GB2312" w:cs="Times New Roman"/>
          <w:sz w:val="32"/>
          <w:szCs w:val="32"/>
        </w:rPr>
        <w:t>“双招双引”、“凤麓英才”、“奉籍英才回归计划”等重点人才工程</w:t>
      </w:r>
      <w:r>
        <w:rPr>
          <w:rFonts w:hint="eastAsia" w:ascii="仿宋_GB2312" w:hAnsi="Calibri" w:eastAsia="仿宋_GB2312" w:cs="Times New Roman"/>
          <w:sz w:val="32"/>
          <w:szCs w:val="32"/>
        </w:rPr>
        <w:t>，促进以才引才和</w:t>
      </w:r>
      <w:r>
        <w:rPr>
          <w:rFonts w:ascii="仿宋_GB2312" w:hAnsi="Calibri" w:eastAsia="仿宋_GB2312" w:cs="Times New Roman"/>
          <w:sz w:val="32"/>
          <w:szCs w:val="32"/>
        </w:rPr>
        <w:t>海外引智工作</w:t>
      </w:r>
      <w:r>
        <w:rPr>
          <w:rFonts w:hint="eastAsia" w:ascii="仿宋_GB2312" w:hAnsi="Calibri" w:eastAsia="仿宋_GB2312" w:cs="Times New Roman"/>
          <w:sz w:val="32"/>
          <w:szCs w:val="32"/>
        </w:rPr>
        <w:t>，</w:t>
      </w:r>
      <w:r>
        <w:rPr>
          <w:rFonts w:ascii="仿宋_GB2312" w:hAnsi="Calibri" w:eastAsia="仿宋_GB2312" w:cs="Times New Roman"/>
          <w:sz w:val="32"/>
          <w:szCs w:val="32"/>
        </w:rPr>
        <w:t>引进一批高精尖特缺的创业创新人才和团队</w:t>
      </w:r>
      <w:r>
        <w:rPr>
          <w:rFonts w:hint="eastAsia" w:ascii="仿宋_GB2312" w:hAnsi="Calibri" w:eastAsia="仿宋_GB2312" w:cs="Times New Roman"/>
          <w:sz w:val="32"/>
          <w:szCs w:val="32"/>
        </w:rPr>
        <w:t>，精通企业管理的高级职业经理人才，能突破关键技术、拥有自主知识产权的科技人才，熟悉工艺流程、懂操作的专业技术人才。实施外贸引才“千人”计划，针对“国际贸易”和“国贸英语”等专业高校毕业生制订招引计划和专项人才引进政策。</w:t>
      </w:r>
      <w:r>
        <w:rPr>
          <w:rFonts w:hint="eastAsia" w:ascii="仿宋_GB2312" w:hAnsi="Calibri" w:eastAsia="仿宋_GB2312"/>
          <w:sz w:val="32"/>
          <w:szCs w:val="32"/>
        </w:rPr>
        <w:t>加快高水平人才培养步伐，</w:t>
      </w:r>
      <w:r>
        <w:rPr>
          <w:rFonts w:hint="eastAsia" w:ascii="仿宋_GB2312" w:hAnsi="Calibri" w:eastAsia="仿宋_GB2312" w:cs="Times New Roman"/>
          <w:sz w:val="32"/>
          <w:szCs w:val="32"/>
        </w:rPr>
        <w:t>实施面向企业家、销</w:t>
      </w:r>
      <w:r>
        <w:rPr>
          <w:rFonts w:hint="eastAsia" w:ascii="仿宋_GB2312" w:hAnsi="Calibri" w:eastAsia="仿宋_GB2312"/>
          <w:sz w:val="32"/>
          <w:szCs w:val="32"/>
        </w:rPr>
        <w:t>售主管组织开展外贸</w:t>
      </w:r>
      <w:r>
        <w:rPr>
          <w:rFonts w:hint="eastAsia" w:ascii="仿宋_GB2312" w:hAnsi="Calibri" w:eastAsia="仿宋_GB2312" w:cs="Times New Roman"/>
          <w:sz w:val="32"/>
          <w:szCs w:val="32"/>
        </w:rPr>
        <w:t>部门业务培训和政策讲解，面向外贸业务员组织开展接单、防风险、海关报关、跨境业务等实操技能培训，年均组织培训4场以上，人数300名以上；</w:t>
      </w:r>
      <w:r>
        <w:rPr>
          <w:rFonts w:hint="eastAsia" w:ascii="仿宋_GB2312" w:hAnsi="Calibri" w:eastAsia="仿宋_GB2312"/>
          <w:sz w:val="32"/>
          <w:szCs w:val="32"/>
        </w:rPr>
        <w:t>以跨境电商园、岳林数字经济产业园为重点突破口，推动跨境电商、数字贸易、服务贸易和服务外包等领域人才培训；</w:t>
      </w:r>
      <w:r>
        <w:rPr>
          <w:rFonts w:hint="eastAsia" w:ascii="仿宋_GB2312" w:hAnsi="Calibri" w:eastAsia="仿宋_GB2312" w:cs="Times New Roman"/>
          <w:sz w:val="32"/>
          <w:szCs w:val="32"/>
        </w:rPr>
        <w:t xml:space="preserve">积极推进服务外包人才培训基地建设，鼓励国内外知名培训机构、大型企业与现有定点培训机构合作，开展各类服务外包人才专业培训。 </w:t>
      </w:r>
    </w:p>
    <w:p>
      <w:pPr>
        <w:ind w:firstLine="602"/>
        <w:rPr>
          <w:rFonts w:ascii="仿宋_GB2312" w:hAnsi="Calibri" w:eastAsia="仿宋_GB2312"/>
          <w:sz w:val="32"/>
          <w:szCs w:val="32"/>
        </w:rPr>
      </w:pPr>
    </w:p>
    <w:p>
      <w:pPr>
        <w:spacing w:line="580" w:lineRule="exact"/>
        <w:ind w:firstLine="643" w:firstLineChars="200"/>
        <w:outlineLvl w:val="1"/>
        <w:rPr>
          <w:rFonts w:ascii="楷体_GB2312" w:hAnsi="黑体" w:eastAsia="楷体_GB2312"/>
          <w:b/>
          <w:sz w:val="32"/>
          <w:szCs w:val="36"/>
        </w:rPr>
      </w:pPr>
      <w:bookmarkStart w:id="78" w:name="_Toc65691867"/>
      <w:r>
        <w:rPr>
          <w:rFonts w:hint="eastAsia" w:ascii="楷体_GB2312" w:hAnsi="黑体" w:eastAsia="楷体_GB2312"/>
          <w:b/>
          <w:sz w:val="32"/>
          <w:szCs w:val="36"/>
        </w:rPr>
        <w:t>（四）服务保障</w:t>
      </w:r>
      <w:bookmarkEnd w:id="78"/>
    </w:p>
    <w:p>
      <w:pPr>
        <w:spacing w:line="580" w:lineRule="exact"/>
        <w:ind w:firstLine="640" w:firstLineChars="200"/>
        <w:outlineLvl w:val="1"/>
        <w:rPr>
          <w:rFonts w:ascii="仿宋_GB2312" w:eastAsia="仿宋_GB2312"/>
          <w:b/>
          <w:sz w:val="32"/>
          <w:szCs w:val="32"/>
        </w:rPr>
      </w:pPr>
      <w:bookmarkStart w:id="79" w:name="_Toc31010"/>
      <w:bookmarkStart w:id="80" w:name="_Toc23196"/>
      <w:r>
        <w:rPr>
          <w:rFonts w:ascii="仿宋_GB2312" w:hAnsi="Calibri" w:eastAsia="仿宋_GB2312"/>
          <w:sz w:val="32"/>
          <w:szCs w:val="32"/>
        </w:rPr>
        <w:t>简化办事流程</w:t>
      </w:r>
      <w:bookmarkEnd w:id="79"/>
      <w:bookmarkEnd w:id="80"/>
      <w:r>
        <w:rPr>
          <w:rFonts w:hint="eastAsia" w:ascii="仿宋_GB2312" w:hAnsi="Calibri" w:eastAsia="仿宋_GB2312"/>
          <w:sz w:val="32"/>
          <w:szCs w:val="32"/>
        </w:rPr>
        <w:t>，深化推进“最多跑一地”改革，依托线上申报、线上审批主渠道，在登记备案、汇率避险、通关、出口退税、境外投资备案、收汇结汇、原产地证明等方面提供优质服务。强化投资目的国环境、政策等信息的收集、整理，引导企业依据所在国政策法规经营生产，保障企业和员工合法权益。引导企业增强安全风险意识，指导企业做好安全风险应对工作，加强安全生产和工程质量监管，加强政策指导、监测预警分析，强化重点国别风险提示，健全境外安全信息通报制度，完善境外突发事件处置机制，提高涉外法律服务水平，帮助全区外贸企业有效应对可能发生的重大诉讼保全或银行账户冻结等贸易风险。推动商业银行、信用保险公司加大对企业开展对外投资支持力度，充分发挥政策性和商业性保险的保障作用。推广应用多维度监测分析、重大项目管理、对外投资国别指引、信贷信保、风险防范等若干个跨部门</w:t>
      </w:r>
      <w:r>
        <w:rPr>
          <w:rFonts w:ascii="仿宋_GB2312" w:hAnsi="Calibri" w:eastAsia="仿宋_GB2312"/>
          <w:sz w:val="32"/>
          <w:szCs w:val="32"/>
        </w:rPr>
        <w:t>数字化</w:t>
      </w:r>
      <w:r>
        <w:rPr>
          <w:rFonts w:hint="eastAsia" w:ascii="仿宋_GB2312" w:hAnsi="Calibri" w:eastAsia="仿宋_GB2312"/>
          <w:sz w:val="32"/>
          <w:szCs w:val="32"/>
        </w:rPr>
        <w:t>应用场景，加强商务、发改、海关、税务、外汇、信保等职能部门联络沟通，适时开展监管信息交换，形成服务合力。建立与我国驻外使馆经商处、中资企业商（协）会工作联系机制，及时为境外奉化企业或自然人提供资讯服务。</w:t>
      </w:r>
    </w:p>
    <w:sectPr>
      <w:footerReference r:id="rId6" w:type="default"/>
      <w:pgSz w:w="11906" w:h="16838"/>
      <w:pgMar w:top="2098" w:right="1474" w:bottom="181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Kartika">
    <w:panose1 w:val="02020503030404060203"/>
    <w:charset w:val="00"/>
    <w:family w:val="roman"/>
    <w:pitch w:val="default"/>
    <w:sig w:usb0="00800003"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BZ">
    <w:altName w:val="宋体"/>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921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9210" cy="139700"/>
                      </a:xfrm>
                      <a:prstGeom prst="rect">
                        <a:avLst/>
                      </a:prstGeom>
                      <a:noFill/>
                      <a:ln>
                        <a:noFill/>
                      </a:ln>
                    </wps:spPr>
                    <wps:txbx>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2.3pt;mso-position-horizontal:center;mso-position-horizontal-relative:margin;mso-wrap-style:none;z-index:251659264;mso-width-relative:page;mso-height-relative:page;" filled="f" stroked="f" coordsize="21600,21600" o:gfxdata="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9E1HNAAAAACAQAADwAAAAAAAAABACAA&#10;AAAiAAAAZHJzL2Rvd25yZXYueG1sUEsBAhQAFAAAAAgAh07iQBLp6Z7cAQAAsgMAAA4AAAAAAAAA&#10;AQAgAAAAHwEAAGRycy9lMm9Eb2MueG1sUEsFBgAAAAAGAAYAWQEAAG0FAAAAAA==&#10;">
              <v:fill on="f" focussize="0,0"/>
              <v:stroke on="f"/>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rPr>
                        <w:lang w:val="zh-CN"/>
                      </w:rPr>
                      <w:t>I</w:t>
                    </w:r>
                    <w:r>
                      <w:rPr>
                        <w:lang w:val="zh-CN"/>
                      </w:rP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291276"/>
    </w:sdtPr>
    <w:sdtContent>
      <w:p>
        <w:pPr>
          <w:pStyle w:val="16"/>
          <w:jc w:val="center"/>
        </w:pPr>
        <w:r>
          <w:fldChar w:fldCharType="begin"/>
        </w:r>
        <w:r>
          <w:instrText xml:space="preserve">PAGE   \* MERGEFORMAT</w:instrText>
        </w:r>
        <w:r>
          <w:fldChar w:fldCharType="separate"/>
        </w:r>
        <w:r>
          <w:rPr>
            <w:lang w:val="zh-CN"/>
          </w:rPr>
          <w:t>34</w:t>
        </w:r>
        <w:r>
          <w:fldChar w:fldCharType="end"/>
        </w:r>
      </w:p>
    </w:sdtContent>
  </w:sdt>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752"/>
    <w:multiLevelType w:val="multilevel"/>
    <w:tmpl w:val="0EE63752"/>
    <w:lvl w:ilvl="0" w:tentative="0">
      <w:start w:val="1"/>
      <w:numFmt w:val="decimal"/>
      <w:lvlText w:val="%1."/>
      <w:lvlJc w:val="left"/>
      <w:pPr>
        <w:ind w:left="1003" w:hanging="36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AA"/>
    <w:rsid w:val="000018DE"/>
    <w:rsid w:val="00002032"/>
    <w:rsid w:val="00002511"/>
    <w:rsid w:val="00003958"/>
    <w:rsid w:val="000050F8"/>
    <w:rsid w:val="00005938"/>
    <w:rsid w:val="00005988"/>
    <w:rsid w:val="00005FF5"/>
    <w:rsid w:val="00011341"/>
    <w:rsid w:val="000118D0"/>
    <w:rsid w:val="000121AF"/>
    <w:rsid w:val="0001332F"/>
    <w:rsid w:val="00013B1D"/>
    <w:rsid w:val="000144B8"/>
    <w:rsid w:val="00015B8D"/>
    <w:rsid w:val="00016F4A"/>
    <w:rsid w:val="000177D4"/>
    <w:rsid w:val="00017C38"/>
    <w:rsid w:val="00020630"/>
    <w:rsid w:val="00021237"/>
    <w:rsid w:val="000215FB"/>
    <w:rsid w:val="00021C8F"/>
    <w:rsid w:val="00022F7C"/>
    <w:rsid w:val="0002321C"/>
    <w:rsid w:val="00024FDE"/>
    <w:rsid w:val="00026999"/>
    <w:rsid w:val="00027000"/>
    <w:rsid w:val="00027FF3"/>
    <w:rsid w:val="0003322F"/>
    <w:rsid w:val="000334BD"/>
    <w:rsid w:val="00034645"/>
    <w:rsid w:val="000349CA"/>
    <w:rsid w:val="0003519E"/>
    <w:rsid w:val="00035D45"/>
    <w:rsid w:val="00040C8E"/>
    <w:rsid w:val="00041549"/>
    <w:rsid w:val="00041798"/>
    <w:rsid w:val="00043E2B"/>
    <w:rsid w:val="00045154"/>
    <w:rsid w:val="000465B9"/>
    <w:rsid w:val="00046858"/>
    <w:rsid w:val="0004704B"/>
    <w:rsid w:val="00047119"/>
    <w:rsid w:val="000479F4"/>
    <w:rsid w:val="00047AB8"/>
    <w:rsid w:val="000504BB"/>
    <w:rsid w:val="0005093A"/>
    <w:rsid w:val="0005121A"/>
    <w:rsid w:val="0005124F"/>
    <w:rsid w:val="0005126F"/>
    <w:rsid w:val="0005355C"/>
    <w:rsid w:val="00053693"/>
    <w:rsid w:val="000543F9"/>
    <w:rsid w:val="000544BB"/>
    <w:rsid w:val="00054856"/>
    <w:rsid w:val="000552BD"/>
    <w:rsid w:val="00055772"/>
    <w:rsid w:val="00056C08"/>
    <w:rsid w:val="00060840"/>
    <w:rsid w:val="0006124D"/>
    <w:rsid w:val="00061482"/>
    <w:rsid w:val="00061C3B"/>
    <w:rsid w:val="00061DE3"/>
    <w:rsid w:val="00062DC1"/>
    <w:rsid w:val="00063199"/>
    <w:rsid w:val="00063B7E"/>
    <w:rsid w:val="00064AF0"/>
    <w:rsid w:val="0006590E"/>
    <w:rsid w:val="000673C5"/>
    <w:rsid w:val="0007086C"/>
    <w:rsid w:val="00071201"/>
    <w:rsid w:val="00071AFC"/>
    <w:rsid w:val="00071EA3"/>
    <w:rsid w:val="00072368"/>
    <w:rsid w:val="00072465"/>
    <w:rsid w:val="00072CEE"/>
    <w:rsid w:val="000731FA"/>
    <w:rsid w:val="0007325F"/>
    <w:rsid w:val="0007597A"/>
    <w:rsid w:val="00075D94"/>
    <w:rsid w:val="0007625E"/>
    <w:rsid w:val="000767CD"/>
    <w:rsid w:val="00077307"/>
    <w:rsid w:val="0007755B"/>
    <w:rsid w:val="00077944"/>
    <w:rsid w:val="00077F46"/>
    <w:rsid w:val="00077F9E"/>
    <w:rsid w:val="000808AA"/>
    <w:rsid w:val="00080D45"/>
    <w:rsid w:val="00081042"/>
    <w:rsid w:val="00081B21"/>
    <w:rsid w:val="000830EC"/>
    <w:rsid w:val="00083A4F"/>
    <w:rsid w:val="00084641"/>
    <w:rsid w:val="00084B3D"/>
    <w:rsid w:val="0008506A"/>
    <w:rsid w:val="000853B2"/>
    <w:rsid w:val="000853DC"/>
    <w:rsid w:val="00090F25"/>
    <w:rsid w:val="000910C9"/>
    <w:rsid w:val="000914C8"/>
    <w:rsid w:val="00092DE0"/>
    <w:rsid w:val="000937BF"/>
    <w:rsid w:val="00095069"/>
    <w:rsid w:val="00095835"/>
    <w:rsid w:val="00095CBA"/>
    <w:rsid w:val="00096FA6"/>
    <w:rsid w:val="00097450"/>
    <w:rsid w:val="00097D8B"/>
    <w:rsid w:val="000A0768"/>
    <w:rsid w:val="000A1770"/>
    <w:rsid w:val="000A1A4C"/>
    <w:rsid w:val="000A325E"/>
    <w:rsid w:val="000A36B6"/>
    <w:rsid w:val="000A3793"/>
    <w:rsid w:val="000A3BF0"/>
    <w:rsid w:val="000A4893"/>
    <w:rsid w:val="000A54F5"/>
    <w:rsid w:val="000A57A1"/>
    <w:rsid w:val="000A5DA6"/>
    <w:rsid w:val="000A607B"/>
    <w:rsid w:val="000A6156"/>
    <w:rsid w:val="000A6A9B"/>
    <w:rsid w:val="000A6E2E"/>
    <w:rsid w:val="000A7424"/>
    <w:rsid w:val="000A7504"/>
    <w:rsid w:val="000B0F4C"/>
    <w:rsid w:val="000B1AC8"/>
    <w:rsid w:val="000B361E"/>
    <w:rsid w:val="000B37CA"/>
    <w:rsid w:val="000B3F9D"/>
    <w:rsid w:val="000B4147"/>
    <w:rsid w:val="000B4251"/>
    <w:rsid w:val="000B4932"/>
    <w:rsid w:val="000B5F4F"/>
    <w:rsid w:val="000B67F4"/>
    <w:rsid w:val="000B763A"/>
    <w:rsid w:val="000C01A8"/>
    <w:rsid w:val="000C185E"/>
    <w:rsid w:val="000C186D"/>
    <w:rsid w:val="000C305C"/>
    <w:rsid w:val="000C395D"/>
    <w:rsid w:val="000C3A89"/>
    <w:rsid w:val="000C4055"/>
    <w:rsid w:val="000C5762"/>
    <w:rsid w:val="000C6F14"/>
    <w:rsid w:val="000C706D"/>
    <w:rsid w:val="000D315A"/>
    <w:rsid w:val="000D39A5"/>
    <w:rsid w:val="000D3EE4"/>
    <w:rsid w:val="000D459A"/>
    <w:rsid w:val="000D578B"/>
    <w:rsid w:val="000D59BB"/>
    <w:rsid w:val="000D62D8"/>
    <w:rsid w:val="000D6AFE"/>
    <w:rsid w:val="000D6D61"/>
    <w:rsid w:val="000E14D9"/>
    <w:rsid w:val="000E2BD4"/>
    <w:rsid w:val="000E2FDF"/>
    <w:rsid w:val="000E3AD5"/>
    <w:rsid w:val="000E3DBE"/>
    <w:rsid w:val="000E3FDC"/>
    <w:rsid w:val="000E40BF"/>
    <w:rsid w:val="000E43D7"/>
    <w:rsid w:val="000E4E22"/>
    <w:rsid w:val="000E5970"/>
    <w:rsid w:val="000E5CE9"/>
    <w:rsid w:val="000E5F88"/>
    <w:rsid w:val="000F09DA"/>
    <w:rsid w:val="000F0C1A"/>
    <w:rsid w:val="000F10A2"/>
    <w:rsid w:val="000F111B"/>
    <w:rsid w:val="000F1D0E"/>
    <w:rsid w:val="000F22AA"/>
    <w:rsid w:val="000F32C7"/>
    <w:rsid w:val="000F369E"/>
    <w:rsid w:val="000F3B17"/>
    <w:rsid w:val="000F4B1D"/>
    <w:rsid w:val="000F5ED3"/>
    <w:rsid w:val="000F7161"/>
    <w:rsid w:val="001011A5"/>
    <w:rsid w:val="00101D45"/>
    <w:rsid w:val="0010449E"/>
    <w:rsid w:val="00104B09"/>
    <w:rsid w:val="00104F9C"/>
    <w:rsid w:val="0010547A"/>
    <w:rsid w:val="001060D7"/>
    <w:rsid w:val="0010660F"/>
    <w:rsid w:val="00107072"/>
    <w:rsid w:val="001072DF"/>
    <w:rsid w:val="00110484"/>
    <w:rsid w:val="00111041"/>
    <w:rsid w:val="0011169C"/>
    <w:rsid w:val="001135F7"/>
    <w:rsid w:val="00113825"/>
    <w:rsid w:val="001142F2"/>
    <w:rsid w:val="001148A4"/>
    <w:rsid w:val="00115A77"/>
    <w:rsid w:val="001166D8"/>
    <w:rsid w:val="00116799"/>
    <w:rsid w:val="00116C16"/>
    <w:rsid w:val="001211A2"/>
    <w:rsid w:val="001238DB"/>
    <w:rsid w:val="001244C4"/>
    <w:rsid w:val="0012450E"/>
    <w:rsid w:val="0012475E"/>
    <w:rsid w:val="001257D8"/>
    <w:rsid w:val="00126385"/>
    <w:rsid w:val="0012648E"/>
    <w:rsid w:val="00126A23"/>
    <w:rsid w:val="00127057"/>
    <w:rsid w:val="001277F4"/>
    <w:rsid w:val="001279D3"/>
    <w:rsid w:val="00127F78"/>
    <w:rsid w:val="0013070B"/>
    <w:rsid w:val="00130EB6"/>
    <w:rsid w:val="0013163B"/>
    <w:rsid w:val="00131E50"/>
    <w:rsid w:val="00131F1D"/>
    <w:rsid w:val="00133CF0"/>
    <w:rsid w:val="00135030"/>
    <w:rsid w:val="001366E8"/>
    <w:rsid w:val="00136A83"/>
    <w:rsid w:val="001372FE"/>
    <w:rsid w:val="00137723"/>
    <w:rsid w:val="00137EFD"/>
    <w:rsid w:val="001400B9"/>
    <w:rsid w:val="00141B9F"/>
    <w:rsid w:val="00142569"/>
    <w:rsid w:val="00144176"/>
    <w:rsid w:val="001441C0"/>
    <w:rsid w:val="001444F3"/>
    <w:rsid w:val="0014556B"/>
    <w:rsid w:val="00145823"/>
    <w:rsid w:val="00145D6F"/>
    <w:rsid w:val="00152382"/>
    <w:rsid w:val="00153317"/>
    <w:rsid w:val="00153855"/>
    <w:rsid w:val="00153A48"/>
    <w:rsid w:val="00153DDA"/>
    <w:rsid w:val="00153F9F"/>
    <w:rsid w:val="00154109"/>
    <w:rsid w:val="001556B9"/>
    <w:rsid w:val="00156256"/>
    <w:rsid w:val="00156D19"/>
    <w:rsid w:val="00157274"/>
    <w:rsid w:val="001574E4"/>
    <w:rsid w:val="00157763"/>
    <w:rsid w:val="00160717"/>
    <w:rsid w:val="001611A9"/>
    <w:rsid w:val="00161CEA"/>
    <w:rsid w:val="0016308B"/>
    <w:rsid w:val="00163829"/>
    <w:rsid w:val="00164BA1"/>
    <w:rsid w:val="00165271"/>
    <w:rsid w:val="00166307"/>
    <w:rsid w:val="0016776E"/>
    <w:rsid w:val="001715E5"/>
    <w:rsid w:val="00172612"/>
    <w:rsid w:val="00172BFB"/>
    <w:rsid w:val="001735FD"/>
    <w:rsid w:val="00176506"/>
    <w:rsid w:val="0017680C"/>
    <w:rsid w:val="00176A38"/>
    <w:rsid w:val="00177042"/>
    <w:rsid w:val="0017748A"/>
    <w:rsid w:val="00177522"/>
    <w:rsid w:val="001778D2"/>
    <w:rsid w:val="00180889"/>
    <w:rsid w:val="00180B0A"/>
    <w:rsid w:val="00184946"/>
    <w:rsid w:val="00185155"/>
    <w:rsid w:val="00185305"/>
    <w:rsid w:val="00186D91"/>
    <w:rsid w:val="00187A8E"/>
    <w:rsid w:val="00192045"/>
    <w:rsid w:val="00193068"/>
    <w:rsid w:val="001932BF"/>
    <w:rsid w:val="001938BA"/>
    <w:rsid w:val="00195654"/>
    <w:rsid w:val="00195C2F"/>
    <w:rsid w:val="00196275"/>
    <w:rsid w:val="0019628C"/>
    <w:rsid w:val="001979D4"/>
    <w:rsid w:val="00197A06"/>
    <w:rsid w:val="001A0212"/>
    <w:rsid w:val="001A22EB"/>
    <w:rsid w:val="001A23F0"/>
    <w:rsid w:val="001A3291"/>
    <w:rsid w:val="001A3636"/>
    <w:rsid w:val="001A3B3E"/>
    <w:rsid w:val="001A3BE6"/>
    <w:rsid w:val="001A4027"/>
    <w:rsid w:val="001A5C40"/>
    <w:rsid w:val="001A66BC"/>
    <w:rsid w:val="001A6AA1"/>
    <w:rsid w:val="001A6C7F"/>
    <w:rsid w:val="001A7556"/>
    <w:rsid w:val="001B05D0"/>
    <w:rsid w:val="001B0B21"/>
    <w:rsid w:val="001B2471"/>
    <w:rsid w:val="001B38FC"/>
    <w:rsid w:val="001B3CF3"/>
    <w:rsid w:val="001B43BE"/>
    <w:rsid w:val="001B4851"/>
    <w:rsid w:val="001B4BE9"/>
    <w:rsid w:val="001B5EC9"/>
    <w:rsid w:val="001B5EF2"/>
    <w:rsid w:val="001B6D33"/>
    <w:rsid w:val="001B6E45"/>
    <w:rsid w:val="001B6F4D"/>
    <w:rsid w:val="001B7977"/>
    <w:rsid w:val="001C0CE5"/>
    <w:rsid w:val="001C0EDC"/>
    <w:rsid w:val="001C2807"/>
    <w:rsid w:val="001C3DD4"/>
    <w:rsid w:val="001C42AF"/>
    <w:rsid w:val="001C577E"/>
    <w:rsid w:val="001C6E78"/>
    <w:rsid w:val="001C7341"/>
    <w:rsid w:val="001C76D4"/>
    <w:rsid w:val="001C776A"/>
    <w:rsid w:val="001C7933"/>
    <w:rsid w:val="001D0492"/>
    <w:rsid w:val="001D0E1A"/>
    <w:rsid w:val="001D1DFF"/>
    <w:rsid w:val="001D214C"/>
    <w:rsid w:val="001D22BD"/>
    <w:rsid w:val="001D2BC1"/>
    <w:rsid w:val="001D7460"/>
    <w:rsid w:val="001E10AE"/>
    <w:rsid w:val="001E1CE7"/>
    <w:rsid w:val="001E285F"/>
    <w:rsid w:val="001E292F"/>
    <w:rsid w:val="001E2CF2"/>
    <w:rsid w:val="001E2E9F"/>
    <w:rsid w:val="001E34A6"/>
    <w:rsid w:val="001E5472"/>
    <w:rsid w:val="001E5AA2"/>
    <w:rsid w:val="001E649C"/>
    <w:rsid w:val="001E6C9F"/>
    <w:rsid w:val="001E7BDF"/>
    <w:rsid w:val="001F1089"/>
    <w:rsid w:val="001F159D"/>
    <w:rsid w:val="001F1C2F"/>
    <w:rsid w:val="001F3B16"/>
    <w:rsid w:val="001F3C23"/>
    <w:rsid w:val="001F4B1E"/>
    <w:rsid w:val="001F6F29"/>
    <w:rsid w:val="001F7174"/>
    <w:rsid w:val="001F7331"/>
    <w:rsid w:val="001F7AF2"/>
    <w:rsid w:val="00200C7E"/>
    <w:rsid w:val="00201C6D"/>
    <w:rsid w:val="002021F0"/>
    <w:rsid w:val="002033CA"/>
    <w:rsid w:val="00204849"/>
    <w:rsid w:val="002049B1"/>
    <w:rsid w:val="00204CA7"/>
    <w:rsid w:val="002062F6"/>
    <w:rsid w:val="002067BC"/>
    <w:rsid w:val="00206A54"/>
    <w:rsid w:val="00207D72"/>
    <w:rsid w:val="00211A24"/>
    <w:rsid w:val="00211D37"/>
    <w:rsid w:val="00212151"/>
    <w:rsid w:val="00212514"/>
    <w:rsid w:val="00214EE7"/>
    <w:rsid w:val="0021548D"/>
    <w:rsid w:val="002158FD"/>
    <w:rsid w:val="00216632"/>
    <w:rsid w:val="00217ED7"/>
    <w:rsid w:val="0022032D"/>
    <w:rsid w:val="00220BE3"/>
    <w:rsid w:val="00220C67"/>
    <w:rsid w:val="00221CCF"/>
    <w:rsid w:val="00221EEC"/>
    <w:rsid w:val="00222D6C"/>
    <w:rsid w:val="00223A7A"/>
    <w:rsid w:val="00223B17"/>
    <w:rsid w:val="002241A6"/>
    <w:rsid w:val="002241C7"/>
    <w:rsid w:val="002243BC"/>
    <w:rsid w:val="0022472D"/>
    <w:rsid w:val="00225AB6"/>
    <w:rsid w:val="002265BF"/>
    <w:rsid w:val="002268E5"/>
    <w:rsid w:val="002276EF"/>
    <w:rsid w:val="00230B7B"/>
    <w:rsid w:val="00230D90"/>
    <w:rsid w:val="00230EDA"/>
    <w:rsid w:val="00230F11"/>
    <w:rsid w:val="002312D4"/>
    <w:rsid w:val="00231C17"/>
    <w:rsid w:val="00232DBB"/>
    <w:rsid w:val="002338D3"/>
    <w:rsid w:val="0023588D"/>
    <w:rsid w:val="00235E70"/>
    <w:rsid w:val="002367E5"/>
    <w:rsid w:val="0023761B"/>
    <w:rsid w:val="00237BF6"/>
    <w:rsid w:val="0024024A"/>
    <w:rsid w:val="0024050F"/>
    <w:rsid w:val="00240790"/>
    <w:rsid w:val="00242ABA"/>
    <w:rsid w:val="002458BD"/>
    <w:rsid w:val="00246296"/>
    <w:rsid w:val="002473C7"/>
    <w:rsid w:val="00247557"/>
    <w:rsid w:val="002479B1"/>
    <w:rsid w:val="00247D4C"/>
    <w:rsid w:val="0025044D"/>
    <w:rsid w:val="00250D69"/>
    <w:rsid w:val="002515E5"/>
    <w:rsid w:val="0025161F"/>
    <w:rsid w:val="002518A3"/>
    <w:rsid w:val="00251A70"/>
    <w:rsid w:val="00251E4D"/>
    <w:rsid w:val="00252AD3"/>
    <w:rsid w:val="00253192"/>
    <w:rsid w:val="00253D26"/>
    <w:rsid w:val="00254320"/>
    <w:rsid w:val="00255C4B"/>
    <w:rsid w:val="002567BD"/>
    <w:rsid w:val="00257194"/>
    <w:rsid w:val="00257988"/>
    <w:rsid w:val="00257B31"/>
    <w:rsid w:val="002608B8"/>
    <w:rsid w:val="002613B4"/>
    <w:rsid w:val="00261B29"/>
    <w:rsid w:val="00262747"/>
    <w:rsid w:val="00262AA0"/>
    <w:rsid w:val="002646B2"/>
    <w:rsid w:val="002647E8"/>
    <w:rsid w:val="0026568A"/>
    <w:rsid w:val="002662CC"/>
    <w:rsid w:val="002666E0"/>
    <w:rsid w:val="0026759A"/>
    <w:rsid w:val="00275042"/>
    <w:rsid w:val="00275785"/>
    <w:rsid w:val="00275871"/>
    <w:rsid w:val="002776C2"/>
    <w:rsid w:val="00277BB8"/>
    <w:rsid w:val="00277D89"/>
    <w:rsid w:val="002806DE"/>
    <w:rsid w:val="002817E9"/>
    <w:rsid w:val="00281942"/>
    <w:rsid w:val="00282287"/>
    <w:rsid w:val="00282A55"/>
    <w:rsid w:val="00282AB0"/>
    <w:rsid w:val="00284196"/>
    <w:rsid w:val="00284224"/>
    <w:rsid w:val="00284480"/>
    <w:rsid w:val="002845FD"/>
    <w:rsid w:val="00284B29"/>
    <w:rsid w:val="002851C2"/>
    <w:rsid w:val="00287500"/>
    <w:rsid w:val="00287DD4"/>
    <w:rsid w:val="0029005F"/>
    <w:rsid w:val="002902FA"/>
    <w:rsid w:val="002908FA"/>
    <w:rsid w:val="002909FC"/>
    <w:rsid w:val="00290E3D"/>
    <w:rsid w:val="00291039"/>
    <w:rsid w:val="00292854"/>
    <w:rsid w:val="0029487F"/>
    <w:rsid w:val="00294BBF"/>
    <w:rsid w:val="00295258"/>
    <w:rsid w:val="002956CB"/>
    <w:rsid w:val="00296779"/>
    <w:rsid w:val="002A0542"/>
    <w:rsid w:val="002A0AA6"/>
    <w:rsid w:val="002A150C"/>
    <w:rsid w:val="002A2EE4"/>
    <w:rsid w:val="002A46D9"/>
    <w:rsid w:val="002A4980"/>
    <w:rsid w:val="002A4A79"/>
    <w:rsid w:val="002A5CC2"/>
    <w:rsid w:val="002A6218"/>
    <w:rsid w:val="002B0C86"/>
    <w:rsid w:val="002B0FE1"/>
    <w:rsid w:val="002B1CCC"/>
    <w:rsid w:val="002B26D6"/>
    <w:rsid w:val="002B5878"/>
    <w:rsid w:val="002B6762"/>
    <w:rsid w:val="002B76C0"/>
    <w:rsid w:val="002C037B"/>
    <w:rsid w:val="002C0800"/>
    <w:rsid w:val="002C0B68"/>
    <w:rsid w:val="002C516E"/>
    <w:rsid w:val="002C560F"/>
    <w:rsid w:val="002C56B5"/>
    <w:rsid w:val="002C5998"/>
    <w:rsid w:val="002D0E4F"/>
    <w:rsid w:val="002D2060"/>
    <w:rsid w:val="002D2C91"/>
    <w:rsid w:val="002D2ED6"/>
    <w:rsid w:val="002D3174"/>
    <w:rsid w:val="002D331A"/>
    <w:rsid w:val="002D3A61"/>
    <w:rsid w:val="002D3F06"/>
    <w:rsid w:val="002D43DF"/>
    <w:rsid w:val="002D4BAF"/>
    <w:rsid w:val="002D5637"/>
    <w:rsid w:val="002D5BC4"/>
    <w:rsid w:val="002D5D99"/>
    <w:rsid w:val="002D6BE3"/>
    <w:rsid w:val="002D6C02"/>
    <w:rsid w:val="002E09D3"/>
    <w:rsid w:val="002E0F4B"/>
    <w:rsid w:val="002E2595"/>
    <w:rsid w:val="002E2829"/>
    <w:rsid w:val="002E2AA6"/>
    <w:rsid w:val="002E2CC0"/>
    <w:rsid w:val="002E3D06"/>
    <w:rsid w:val="002E4ACD"/>
    <w:rsid w:val="002E6256"/>
    <w:rsid w:val="002E695D"/>
    <w:rsid w:val="002E7F72"/>
    <w:rsid w:val="002F026B"/>
    <w:rsid w:val="002F072A"/>
    <w:rsid w:val="002F1279"/>
    <w:rsid w:val="002F207D"/>
    <w:rsid w:val="002F2EFE"/>
    <w:rsid w:val="002F2F21"/>
    <w:rsid w:val="002F4E23"/>
    <w:rsid w:val="002F5F08"/>
    <w:rsid w:val="002F5F23"/>
    <w:rsid w:val="002F688B"/>
    <w:rsid w:val="002F6FCE"/>
    <w:rsid w:val="002F702F"/>
    <w:rsid w:val="002F7129"/>
    <w:rsid w:val="003006C1"/>
    <w:rsid w:val="003010E8"/>
    <w:rsid w:val="0030144D"/>
    <w:rsid w:val="00301885"/>
    <w:rsid w:val="00303349"/>
    <w:rsid w:val="0030374E"/>
    <w:rsid w:val="00303B05"/>
    <w:rsid w:val="00303BE8"/>
    <w:rsid w:val="00303D40"/>
    <w:rsid w:val="003044E0"/>
    <w:rsid w:val="003058D2"/>
    <w:rsid w:val="00306365"/>
    <w:rsid w:val="00307A84"/>
    <w:rsid w:val="00310149"/>
    <w:rsid w:val="0031040A"/>
    <w:rsid w:val="00311422"/>
    <w:rsid w:val="0031185A"/>
    <w:rsid w:val="003118FB"/>
    <w:rsid w:val="00311F72"/>
    <w:rsid w:val="0031290C"/>
    <w:rsid w:val="0031364F"/>
    <w:rsid w:val="0031380D"/>
    <w:rsid w:val="00313DB2"/>
    <w:rsid w:val="00320C53"/>
    <w:rsid w:val="0032422A"/>
    <w:rsid w:val="00324625"/>
    <w:rsid w:val="00324DA6"/>
    <w:rsid w:val="003256B6"/>
    <w:rsid w:val="00325A97"/>
    <w:rsid w:val="00327E02"/>
    <w:rsid w:val="00330C4A"/>
    <w:rsid w:val="00331560"/>
    <w:rsid w:val="00333082"/>
    <w:rsid w:val="0033370E"/>
    <w:rsid w:val="003342D6"/>
    <w:rsid w:val="003347B7"/>
    <w:rsid w:val="003347F7"/>
    <w:rsid w:val="0033494C"/>
    <w:rsid w:val="00334C18"/>
    <w:rsid w:val="003353CE"/>
    <w:rsid w:val="00336EE1"/>
    <w:rsid w:val="00336FEB"/>
    <w:rsid w:val="00337AFB"/>
    <w:rsid w:val="003401F3"/>
    <w:rsid w:val="00340745"/>
    <w:rsid w:val="00340D51"/>
    <w:rsid w:val="00341863"/>
    <w:rsid w:val="00341B61"/>
    <w:rsid w:val="00342DBC"/>
    <w:rsid w:val="0034348D"/>
    <w:rsid w:val="003439A9"/>
    <w:rsid w:val="00343F20"/>
    <w:rsid w:val="003442EE"/>
    <w:rsid w:val="0034759B"/>
    <w:rsid w:val="00347B63"/>
    <w:rsid w:val="00347D4C"/>
    <w:rsid w:val="00350567"/>
    <w:rsid w:val="00350662"/>
    <w:rsid w:val="00350AE6"/>
    <w:rsid w:val="00350E07"/>
    <w:rsid w:val="00352AE7"/>
    <w:rsid w:val="0035303B"/>
    <w:rsid w:val="00353DDB"/>
    <w:rsid w:val="003542BE"/>
    <w:rsid w:val="003549E4"/>
    <w:rsid w:val="00354BF0"/>
    <w:rsid w:val="0035507E"/>
    <w:rsid w:val="00355D5D"/>
    <w:rsid w:val="00355F16"/>
    <w:rsid w:val="003562E0"/>
    <w:rsid w:val="00356623"/>
    <w:rsid w:val="00356BEE"/>
    <w:rsid w:val="003577ED"/>
    <w:rsid w:val="003578DC"/>
    <w:rsid w:val="00362470"/>
    <w:rsid w:val="003638CE"/>
    <w:rsid w:val="00363A85"/>
    <w:rsid w:val="00363CB5"/>
    <w:rsid w:val="0036497B"/>
    <w:rsid w:val="003649BB"/>
    <w:rsid w:val="00364D54"/>
    <w:rsid w:val="00364E88"/>
    <w:rsid w:val="00370043"/>
    <w:rsid w:val="0037141A"/>
    <w:rsid w:val="00371A89"/>
    <w:rsid w:val="00372472"/>
    <w:rsid w:val="00372E6F"/>
    <w:rsid w:val="00373924"/>
    <w:rsid w:val="0037405D"/>
    <w:rsid w:val="003745C8"/>
    <w:rsid w:val="003772FB"/>
    <w:rsid w:val="00377DB4"/>
    <w:rsid w:val="00377FE0"/>
    <w:rsid w:val="003811AD"/>
    <w:rsid w:val="00384612"/>
    <w:rsid w:val="00385040"/>
    <w:rsid w:val="00385542"/>
    <w:rsid w:val="003869E8"/>
    <w:rsid w:val="00386E1B"/>
    <w:rsid w:val="0038734E"/>
    <w:rsid w:val="00387BC4"/>
    <w:rsid w:val="0039067D"/>
    <w:rsid w:val="00391C09"/>
    <w:rsid w:val="00391D6C"/>
    <w:rsid w:val="00392FEF"/>
    <w:rsid w:val="00393618"/>
    <w:rsid w:val="00394647"/>
    <w:rsid w:val="00394DFA"/>
    <w:rsid w:val="0039560B"/>
    <w:rsid w:val="003956E7"/>
    <w:rsid w:val="003960E0"/>
    <w:rsid w:val="00396B00"/>
    <w:rsid w:val="00396B6C"/>
    <w:rsid w:val="00396CE9"/>
    <w:rsid w:val="00396EEB"/>
    <w:rsid w:val="00397B35"/>
    <w:rsid w:val="00397E59"/>
    <w:rsid w:val="003A03AF"/>
    <w:rsid w:val="003A0D21"/>
    <w:rsid w:val="003A15DC"/>
    <w:rsid w:val="003A3118"/>
    <w:rsid w:val="003A3547"/>
    <w:rsid w:val="003A3A22"/>
    <w:rsid w:val="003A6C02"/>
    <w:rsid w:val="003A7211"/>
    <w:rsid w:val="003B0044"/>
    <w:rsid w:val="003B08FB"/>
    <w:rsid w:val="003B1202"/>
    <w:rsid w:val="003B1E27"/>
    <w:rsid w:val="003B3078"/>
    <w:rsid w:val="003B52E8"/>
    <w:rsid w:val="003B61B1"/>
    <w:rsid w:val="003B6A2C"/>
    <w:rsid w:val="003B78E1"/>
    <w:rsid w:val="003B7B3A"/>
    <w:rsid w:val="003B7E43"/>
    <w:rsid w:val="003C0999"/>
    <w:rsid w:val="003C0E92"/>
    <w:rsid w:val="003C1427"/>
    <w:rsid w:val="003C1576"/>
    <w:rsid w:val="003C2549"/>
    <w:rsid w:val="003C2617"/>
    <w:rsid w:val="003C2AF8"/>
    <w:rsid w:val="003C375C"/>
    <w:rsid w:val="003C41DC"/>
    <w:rsid w:val="003C4A4A"/>
    <w:rsid w:val="003C5213"/>
    <w:rsid w:val="003C6B87"/>
    <w:rsid w:val="003C6CB6"/>
    <w:rsid w:val="003C6E2A"/>
    <w:rsid w:val="003C6F5D"/>
    <w:rsid w:val="003C75D1"/>
    <w:rsid w:val="003C7DB8"/>
    <w:rsid w:val="003D0888"/>
    <w:rsid w:val="003D0B29"/>
    <w:rsid w:val="003D0B72"/>
    <w:rsid w:val="003D0FA5"/>
    <w:rsid w:val="003D1601"/>
    <w:rsid w:val="003D3388"/>
    <w:rsid w:val="003D351C"/>
    <w:rsid w:val="003D3951"/>
    <w:rsid w:val="003D40A1"/>
    <w:rsid w:val="003D47EB"/>
    <w:rsid w:val="003D4BD4"/>
    <w:rsid w:val="003D61BA"/>
    <w:rsid w:val="003D6963"/>
    <w:rsid w:val="003D73E3"/>
    <w:rsid w:val="003D7878"/>
    <w:rsid w:val="003E09F5"/>
    <w:rsid w:val="003E13A1"/>
    <w:rsid w:val="003E2989"/>
    <w:rsid w:val="003E3252"/>
    <w:rsid w:val="003E46A9"/>
    <w:rsid w:val="003E604B"/>
    <w:rsid w:val="003E61F4"/>
    <w:rsid w:val="003E62A2"/>
    <w:rsid w:val="003E73CB"/>
    <w:rsid w:val="003F0159"/>
    <w:rsid w:val="003F0793"/>
    <w:rsid w:val="003F08A2"/>
    <w:rsid w:val="003F0F15"/>
    <w:rsid w:val="003F1093"/>
    <w:rsid w:val="003F1116"/>
    <w:rsid w:val="003F18C7"/>
    <w:rsid w:val="003F243B"/>
    <w:rsid w:val="003F2B79"/>
    <w:rsid w:val="003F2CB4"/>
    <w:rsid w:val="003F3F92"/>
    <w:rsid w:val="003F49A1"/>
    <w:rsid w:val="003F4F1C"/>
    <w:rsid w:val="003F5845"/>
    <w:rsid w:val="003F6146"/>
    <w:rsid w:val="003F66C6"/>
    <w:rsid w:val="003F703F"/>
    <w:rsid w:val="003F7A00"/>
    <w:rsid w:val="003F7CD9"/>
    <w:rsid w:val="003F7E79"/>
    <w:rsid w:val="004013DA"/>
    <w:rsid w:val="004015D4"/>
    <w:rsid w:val="0040182B"/>
    <w:rsid w:val="00401CCE"/>
    <w:rsid w:val="00401ED9"/>
    <w:rsid w:val="004022BC"/>
    <w:rsid w:val="00403791"/>
    <w:rsid w:val="004045A5"/>
    <w:rsid w:val="00404605"/>
    <w:rsid w:val="004049DC"/>
    <w:rsid w:val="00404B73"/>
    <w:rsid w:val="00406E7D"/>
    <w:rsid w:val="0041006B"/>
    <w:rsid w:val="0041050E"/>
    <w:rsid w:val="00410BC2"/>
    <w:rsid w:val="00411E65"/>
    <w:rsid w:val="004121EC"/>
    <w:rsid w:val="004126A5"/>
    <w:rsid w:val="00413C74"/>
    <w:rsid w:val="0041404C"/>
    <w:rsid w:val="0041491A"/>
    <w:rsid w:val="00415C4F"/>
    <w:rsid w:val="00415CA7"/>
    <w:rsid w:val="00416B94"/>
    <w:rsid w:val="00417BA7"/>
    <w:rsid w:val="00421311"/>
    <w:rsid w:val="00421F94"/>
    <w:rsid w:val="00422249"/>
    <w:rsid w:val="00422F55"/>
    <w:rsid w:val="00423196"/>
    <w:rsid w:val="0042489E"/>
    <w:rsid w:val="00424A82"/>
    <w:rsid w:val="004254B0"/>
    <w:rsid w:val="00426477"/>
    <w:rsid w:val="004269FF"/>
    <w:rsid w:val="00427A8F"/>
    <w:rsid w:val="00427D29"/>
    <w:rsid w:val="00427D7C"/>
    <w:rsid w:val="00430B24"/>
    <w:rsid w:val="00431172"/>
    <w:rsid w:val="00431926"/>
    <w:rsid w:val="00431981"/>
    <w:rsid w:val="00431EEE"/>
    <w:rsid w:val="00433A40"/>
    <w:rsid w:val="00433F22"/>
    <w:rsid w:val="004348BB"/>
    <w:rsid w:val="00435FE4"/>
    <w:rsid w:val="00436F93"/>
    <w:rsid w:val="00437DAA"/>
    <w:rsid w:val="00440033"/>
    <w:rsid w:val="00441E82"/>
    <w:rsid w:val="0044245F"/>
    <w:rsid w:val="0044259C"/>
    <w:rsid w:val="00442CFF"/>
    <w:rsid w:val="00443C80"/>
    <w:rsid w:val="00443CB4"/>
    <w:rsid w:val="004455D8"/>
    <w:rsid w:val="00445BD7"/>
    <w:rsid w:val="004460A9"/>
    <w:rsid w:val="0044646B"/>
    <w:rsid w:val="00447423"/>
    <w:rsid w:val="00447C4B"/>
    <w:rsid w:val="0045010E"/>
    <w:rsid w:val="0045579F"/>
    <w:rsid w:val="00455F44"/>
    <w:rsid w:val="00456CA2"/>
    <w:rsid w:val="00457C21"/>
    <w:rsid w:val="00460ACA"/>
    <w:rsid w:val="00461C99"/>
    <w:rsid w:val="00462256"/>
    <w:rsid w:val="004636C8"/>
    <w:rsid w:val="00463A28"/>
    <w:rsid w:val="004647FA"/>
    <w:rsid w:val="004652CA"/>
    <w:rsid w:val="00465883"/>
    <w:rsid w:val="00465F54"/>
    <w:rsid w:val="0046750A"/>
    <w:rsid w:val="004679B4"/>
    <w:rsid w:val="0047012E"/>
    <w:rsid w:val="00470E30"/>
    <w:rsid w:val="00471517"/>
    <w:rsid w:val="0047216B"/>
    <w:rsid w:val="004762E6"/>
    <w:rsid w:val="00476B0B"/>
    <w:rsid w:val="004772C9"/>
    <w:rsid w:val="00477F4C"/>
    <w:rsid w:val="00480802"/>
    <w:rsid w:val="00481093"/>
    <w:rsid w:val="0048121B"/>
    <w:rsid w:val="004812C5"/>
    <w:rsid w:val="004818C2"/>
    <w:rsid w:val="00482655"/>
    <w:rsid w:val="004841A3"/>
    <w:rsid w:val="004856E8"/>
    <w:rsid w:val="00486ED9"/>
    <w:rsid w:val="004871FA"/>
    <w:rsid w:val="00487251"/>
    <w:rsid w:val="00487D9E"/>
    <w:rsid w:val="004902BD"/>
    <w:rsid w:val="0049117A"/>
    <w:rsid w:val="00491274"/>
    <w:rsid w:val="004914AA"/>
    <w:rsid w:val="0049240A"/>
    <w:rsid w:val="004927B4"/>
    <w:rsid w:val="00492AFA"/>
    <w:rsid w:val="004933C3"/>
    <w:rsid w:val="00493DC7"/>
    <w:rsid w:val="00495114"/>
    <w:rsid w:val="00495952"/>
    <w:rsid w:val="00495ECE"/>
    <w:rsid w:val="00496E2D"/>
    <w:rsid w:val="00496F40"/>
    <w:rsid w:val="00497269"/>
    <w:rsid w:val="0049772E"/>
    <w:rsid w:val="004A0DC1"/>
    <w:rsid w:val="004A2851"/>
    <w:rsid w:val="004A32B4"/>
    <w:rsid w:val="004A4C55"/>
    <w:rsid w:val="004A4CA5"/>
    <w:rsid w:val="004A5463"/>
    <w:rsid w:val="004A67C1"/>
    <w:rsid w:val="004B01BC"/>
    <w:rsid w:val="004B1275"/>
    <w:rsid w:val="004B1719"/>
    <w:rsid w:val="004B20A7"/>
    <w:rsid w:val="004B2420"/>
    <w:rsid w:val="004B2FD1"/>
    <w:rsid w:val="004B3C1A"/>
    <w:rsid w:val="004B44D5"/>
    <w:rsid w:val="004B499A"/>
    <w:rsid w:val="004B50F2"/>
    <w:rsid w:val="004B55BC"/>
    <w:rsid w:val="004B60C4"/>
    <w:rsid w:val="004B6C38"/>
    <w:rsid w:val="004B747D"/>
    <w:rsid w:val="004B78D9"/>
    <w:rsid w:val="004C12E2"/>
    <w:rsid w:val="004C16A7"/>
    <w:rsid w:val="004C1B0D"/>
    <w:rsid w:val="004C250F"/>
    <w:rsid w:val="004C29EF"/>
    <w:rsid w:val="004C39A8"/>
    <w:rsid w:val="004C3A44"/>
    <w:rsid w:val="004C3A63"/>
    <w:rsid w:val="004C795A"/>
    <w:rsid w:val="004D14EB"/>
    <w:rsid w:val="004D1766"/>
    <w:rsid w:val="004D22CD"/>
    <w:rsid w:val="004D29D4"/>
    <w:rsid w:val="004D2D53"/>
    <w:rsid w:val="004D3A11"/>
    <w:rsid w:val="004D51A6"/>
    <w:rsid w:val="004D679A"/>
    <w:rsid w:val="004D70F9"/>
    <w:rsid w:val="004D7B19"/>
    <w:rsid w:val="004E274C"/>
    <w:rsid w:val="004E3402"/>
    <w:rsid w:val="004E39AB"/>
    <w:rsid w:val="004E47EB"/>
    <w:rsid w:val="004E4837"/>
    <w:rsid w:val="004E4B1C"/>
    <w:rsid w:val="004E57EB"/>
    <w:rsid w:val="004E5CF1"/>
    <w:rsid w:val="004E77C7"/>
    <w:rsid w:val="004E7BD0"/>
    <w:rsid w:val="004E7BDA"/>
    <w:rsid w:val="004E7D05"/>
    <w:rsid w:val="004F1368"/>
    <w:rsid w:val="004F1589"/>
    <w:rsid w:val="004F3171"/>
    <w:rsid w:val="004F3EFA"/>
    <w:rsid w:val="004F4CD2"/>
    <w:rsid w:val="004F4E37"/>
    <w:rsid w:val="004F534A"/>
    <w:rsid w:val="004F5AC8"/>
    <w:rsid w:val="004F5E8B"/>
    <w:rsid w:val="004F6350"/>
    <w:rsid w:val="004F6AE0"/>
    <w:rsid w:val="004F6B8C"/>
    <w:rsid w:val="00500870"/>
    <w:rsid w:val="00501D09"/>
    <w:rsid w:val="005033B7"/>
    <w:rsid w:val="005048F3"/>
    <w:rsid w:val="005056A6"/>
    <w:rsid w:val="005056F6"/>
    <w:rsid w:val="005067AA"/>
    <w:rsid w:val="0050739B"/>
    <w:rsid w:val="00507665"/>
    <w:rsid w:val="005102F8"/>
    <w:rsid w:val="005105F2"/>
    <w:rsid w:val="00510647"/>
    <w:rsid w:val="00511D25"/>
    <w:rsid w:val="00512AA8"/>
    <w:rsid w:val="00513372"/>
    <w:rsid w:val="00514803"/>
    <w:rsid w:val="00515050"/>
    <w:rsid w:val="005156CF"/>
    <w:rsid w:val="0051595F"/>
    <w:rsid w:val="0051644B"/>
    <w:rsid w:val="00517D12"/>
    <w:rsid w:val="00517F26"/>
    <w:rsid w:val="00520912"/>
    <w:rsid w:val="00521292"/>
    <w:rsid w:val="00521D82"/>
    <w:rsid w:val="0052209B"/>
    <w:rsid w:val="00522BD8"/>
    <w:rsid w:val="005244EE"/>
    <w:rsid w:val="00524A55"/>
    <w:rsid w:val="00527AF8"/>
    <w:rsid w:val="00527B16"/>
    <w:rsid w:val="005302B4"/>
    <w:rsid w:val="0053095D"/>
    <w:rsid w:val="00531500"/>
    <w:rsid w:val="00531AA7"/>
    <w:rsid w:val="00532F4F"/>
    <w:rsid w:val="00532F76"/>
    <w:rsid w:val="00534A93"/>
    <w:rsid w:val="00536619"/>
    <w:rsid w:val="0053726F"/>
    <w:rsid w:val="00537BD1"/>
    <w:rsid w:val="00537C5F"/>
    <w:rsid w:val="00540B6B"/>
    <w:rsid w:val="00540BCC"/>
    <w:rsid w:val="0054162E"/>
    <w:rsid w:val="0054195C"/>
    <w:rsid w:val="00541AAA"/>
    <w:rsid w:val="00541C01"/>
    <w:rsid w:val="00541C8A"/>
    <w:rsid w:val="00541D11"/>
    <w:rsid w:val="005421CC"/>
    <w:rsid w:val="00543119"/>
    <w:rsid w:val="00543D9D"/>
    <w:rsid w:val="005446C6"/>
    <w:rsid w:val="00544891"/>
    <w:rsid w:val="00546C42"/>
    <w:rsid w:val="00546FA3"/>
    <w:rsid w:val="005509A1"/>
    <w:rsid w:val="005512EB"/>
    <w:rsid w:val="00551684"/>
    <w:rsid w:val="00552380"/>
    <w:rsid w:val="005532CC"/>
    <w:rsid w:val="00553967"/>
    <w:rsid w:val="00553997"/>
    <w:rsid w:val="0055455D"/>
    <w:rsid w:val="00554749"/>
    <w:rsid w:val="00554ACE"/>
    <w:rsid w:val="00554B98"/>
    <w:rsid w:val="00554BBA"/>
    <w:rsid w:val="00554F7A"/>
    <w:rsid w:val="00556381"/>
    <w:rsid w:val="00556496"/>
    <w:rsid w:val="00556E79"/>
    <w:rsid w:val="00557D46"/>
    <w:rsid w:val="00560C0F"/>
    <w:rsid w:val="005610AB"/>
    <w:rsid w:val="00561189"/>
    <w:rsid w:val="0056144F"/>
    <w:rsid w:val="00562112"/>
    <w:rsid w:val="00562496"/>
    <w:rsid w:val="0056260F"/>
    <w:rsid w:val="00562633"/>
    <w:rsid w:val="00563253"/>
    <w:rsid w:val="00563D3F"/>
    <w:rsid w:val="00564248"/>
    <w:rsid w:val="005652EE"/>
    <w:rsid w:val="0056550C"/>
    <w:rsid w:val="00565CEC"/>
    <w:rsid w:val="00566E5F"/>
    <w:rsid w:val="0056741C"/>
    <w:rsid w:val="005679E2"/>
    <w:rsid w:val="00567A00"/>
    <w:rsid w:val="00567CAC"/>
    <w:rsid w:val="005706AB"/>
    <w:rsid w:val="00571114"/>
    <w:rsid w:val="00571126"/>
    <w:rsid w:val="00571242"/>
    <w:rsid w:val="00571E8E"/>
    <w:rsid w:val="005730CE"/>
    <w:rsid w:val="00573EB9"/>
    <w:rsid w:val="00573F8D"/>
    <w:rsid w:val="005749F2"/>
    <w:rsid w:val="00575096"/>
    <w:rsid w:val="00575F4E"/>
    <w:rsid w:val="00577304"/>
    <w:rsid w:val="00580072"/>
    <w:rsid w:val="005804B1"/>
    <w:rsid w:val="00580F4E"/>
    <w:rsid w:val="00582B63"/>
    <w:rsid w:val="00583623"/>
    <w:rsid w:val="0058389F"/>
    <w:rsid w:val="005839F1"/>
    <w:rsid w:val="00583ED1"/>
    <w:rsid w:val="0058426D"/>
    <w:rsid w:val="00584ABD"/>
    <w:rsid w:val="00586330"/>
    <w:rsid w:val="00587D66"/>
    <w:rsid w:val="005922A9"/>
    <w:rsid w:val="00593BFD"/>
    <w:rsid w:val="005941EC"/>
    <w:rsid w:val="00594529"/>
    <w:rsid w:val="00595596"/>
    <w:rsid w:val="005972A2"/>
    <w:rsid w:val="005A0306"/>
    <w:rsid w:val="005A0636"/>
    <w:rsid w:val="005A194F"/>
    <w:rsid w:val="005A1C6D"/>
    <w:rsid w:val="005A317E"/>
    <w:rsid w:val="005A41A3"/>
    <w:rsid w:val="005A47AF"/>
    <w:rsid w:val="005A5E1C"/>
    <w:rsid w:val="005A5FB6"/>
    <w:rsid w:val="005A622A"/>
    <w:rsid w:val="005B0E04"/>
    <w:rsid w:val="005B1958"/>
    <w:rsid w:val="005B25A5"/>
    <w:rsid w:val="005B2C32"/>
    <w:rsid w:val="005B334D"/>
    <w:rsid w:val="005B342D"/>
    <w:rsid w:val="005B4E27"/>
    <w:rsid w:val="005B5BBD"/>
    <w:rsid w:val="005B740E"/>
    <w:rsid w:val="005B76F4"/>
    <w:rsid w:val="005B78FB"/>
    <w:rsid w:val="005C03AD"/>
    <w:rsid w:val="005C0F3D"/>
    <w:rsid w:val="005C0FD8"/>
    <w:rsid w:val="005C1017"/>
    <w:rsid w:val="005C3834"/>
    <w:rsid w:val="005C46F7"/>
    <w:rsid w:val="005C567B"/>
    <w:rsid w:val="005C56CA"/>
    <w:rsid w:val="005C7609"/>
    <w:rsid w:val="005D09B3"/>
    <w:rsid w:val="005D10D3"/>
    <w:rsid w:val="005D2150"/>
    <w:rsid w:val="005D2D27"/>
    <w:rsid w:val="005D2E30"/>
    <w:rsid w:val="005D30A7"/>
    <w:rsid w:val="005D3B19"/>
    <w:rsid w:val="005D3D5A"/>
    <w:rsid w:val="005D565C"/>
    <w:rsid w:val="005D69E8"/>
    <w:rsid w:val="005E0C38"/>
    <w:rsid w:val="005E2E2E"/>
    <w:rsid w:val="005E3E26"/>
    <w:rsid w:val="005E41B0"/>
    <w:rsid w:val="005E48F1"/>
    <w:rsid w:val="005E607A"/>
    <w:rsid w:val="005E665B"/>
    <w:rsid w:val="005E7CC6"/>
    <w:rsid w:val="005E7FE1"/>
    <w:rsid w:val="005F0143"/>
    <w:rsid w:val="005F0444"/>
    <w:rsid w:val="005F06CF"/>
    <w:rsid w:val="005F0AED"/>
    <w:rsid w:val="005F0FB4"/>
    <w:rsid w:val="005F11A8"/>
    <w:rsid w:val="005F1BD2"/>
    <w:rsid w:val="005F26B9"/>
    <w:rsid w:val="005F2B52"/>
    <w:rsid w:val="005F3CCF"/>
    <w:rsid w:val="005F7C1C"/>
    <w:rsid w:val="00600408"/>
    <w:rsid w:val="006021E6"/>
    <w:rsid w:val="00602CEA"/>
    <w:rsid w:val="0060367A"/>
    <w:rsid w:val="006042A3"/>
    <w:rsid w:val="00605667"/>
    <w:rsid w:val="006057D8"/>
    <w:rsid w:val="0060649F"/>
    <w:rsid w:val="00606688"/>
    <w:rsid w:val="00606DB7"/>
    <w:rsid w:val="006076B4"/>
    <w:rsid w:val="006109A1"/>
    <w:rsid w:val="00611187"/>
    <w:rsid w:val="006111F5"/>
    <w:rsid w:val="00613E8F"/>
    <w:rsid w:val="00615D19"/>
    <w:rsid w:val="00616084"/>
    <w:rsid w:val="006162BD"/>
    <w:rsid w:val="00616334"/>
    <w:rsid w:val="0061654A"/>
    <w:rsid w:val="006179DA"/>
    <w:rsid w:val="0062048B"/>
    <w:rsid w:val="00620606"/>
    <w:rsid w:val="006214F2"/>
    <w:rsid w:val="00621E9D"/>
    <w:rsid w:val="00622512"/>
    <w:rsid w:val="00622F02"/>
    <w:rsid w:val="006234F3"/>
    <w:rsid w:val="006240F9"/>
    <w:rsid w:val="0062620A"/>
    <w:rsid w:val="006274D1"/>
    <w:rsid w:val="006306B8"/>
    <w:rsid w:val="006307D5"/>
    <w:rsid w:val="00630EAC"/>
    <w:rsid w:val="00632707"/>
    <w:rsid w:val="0063282B"/>
    <w:rsid w:val="006335F9"/>
    <w:rsid w:val="00633E08"/>
    <w:rsid w:val="006345CE"/>
    <w:rsid w:val="00634D6E"/>
    <w:rsid w:val="00635806"/>
    <w:rsid w:val="006359AF"/>
    <w:rsid w:val="006359D1"/>
    <w:rsid w:val="00635E28"/>
    <w:rsid w:val="006365DC"/>
    <w:rsid w:val="006378CF"/>
    <w:rsid w:val="0064041E"/>
    <w:rsid w:val="006440B8"/>
    <w:rsid w:val="00644305"/>
    <w:rsid w:val="00644E36"/>
    <w:rsid w:val="00645028"/>
    <w:rsid w:val="0064619A"/>
    <w:rsid w:val="006468BF"/>
    <w:rsid w:val="00651BB3"/>
    <w:rsid w:val="00653592"/>
    <w:rsid w:val="00653BC9"/>
    <w:rsid w:val="00654344"/>
    <w:rsid w:val="006547FA"/>
    <w:rsid w:val="00655E4C"/>
    <w:rsid w:val="00655E69"/>
    <w:rsid w:val="00656388"/>
    <w:rsid w:val="006576D8"/>
    <w:rsid w:val="00657BF4"/>
    <w:rsid w:val="00657FC6"/>
    <w:rsid w:val="0066051C"/>
    <w:rsid w:val="006611A3"/>
    <w:rsid w:val="0066303F"/>
    <w:rsid w:val="0066542B"/>
    <w:rsid w:val="00666239"/>
    <w:rsid w:val="006665C6"/>
    <w:rsid w:val="00666D15"/>
    <w:rsid w:val="00666FA7"/>
    <w:rsid w:val="00670C66"/>
    <w:rsid w:val="00670D5A"/>
    <w:rsid w:val="00670DB2"/>
    <w:rsid w:val="00671820"/>
    <w:rsid w:val="00671BB9"/>
    <w:rsid w:val="0067254C"/>
    <w:rsid w:val="006733D8"/>
    <w:rsid w:val="00673B24"/>
    <w:rsid w:val="00673F18"/>
    <w:rsid w:val="00673F83"/>
    <w:rsid w:val="00674707"/>
    <w:rsid w:val="00674F78"/>
    <w:rsid w:val="0067681F"/>
    <w:rsid w:val="006769EE"/>
    <w:rsid w:val="0067768D"/>
    <w:rsid w:val="00682D28"/>
    <w:rsid w:val="00683570"/>
    <w:rsid w:val="00685265"/>
    <w:rsid w:val="00685E72"/>
    <w:rsid w:val="00685F1E"/>
    <w:rsid w:val="00687070"/>
    <w:rsid w:val="00690A53"/>
    <w:rsid w:val="00690DE3"/>
    <w:rsid w:val="00691402"/>
    <w:rsid w:val="00691EBC"/>
    <w:rsid w:val="00692079"/>
    <w:rsid w:val="00692A4C"/>
    <w:rsid w:val="00692D6C"/>
    <w:rsid w:val="006932BC"/>
    <w:rsid w:val="0069355A"/>
    <w:rsid w:val="00693EA2"/>
    <w:rsid w:val="00694AFD"/>
    <w:rsid w:val="00694B62"/>
    <w:rsid w:val="006964F1"/>
    <w:rsid w:val="0069656A"/>
    <w:rsid w:val="00697EDB"/>
    <w:rsid w:val="006A0AAE"/>
    <w:rsid w:val="006A123B"/>
    <w:rsid w:val="006A1695"/>
    <w:rsid w:val="006A2AC6"/>
    <w:rsid w:val="006A2E8F"/>
    <w:rsid w:val="006A3881"/>
    <w:rsid w:val="006A4452"/>
    <w:rsid w:val="006A5491"/>
    <w:rsid w:val="006A6119"/>
    <w:rsid w:val="006A65A2"/>
    <w:rsid w:val="006B0305"/>
    <w:rsid w:val="006B0390"/>
    <w:rsid w:val="006B041D"/>
    <w:rsid w:val="006B0973"/>
    <w:rsid w:val="006B14AD"/>
    <w:rsid w:val="006B204E"/>
    <w:rsid w:val="006B29CC"/>
    <w:rsid w:val="006B319E"/>
    <w:rsid w:val="006B33F8"/>
    <w:rsid w:val="006B399E"/>
    <w:rsid w:val="006B5474"/>
    <w:rsid w:val="006B5EA9"/>
    <w:rsid w:val="006B70BC"/>
    <w:rsid w:val="006B72CB"/>
    <w:rsid w:val="006B7759"/>
    <w:rsid w:val="006B7A8C"/>
    <w:rsid w:val="006B7B23"/>
    <w:rsid w:val="006B7F02"/>
    <w:rsid w:val="006C020B"/>
    <w:rsid w:val="006C08A4"/>
    <w:rsid w:val="006C1A7C"/>
    <w:rsid w:val="006C3206"/>
    <w:rsid w:val="006C3213"/>
    <w:rsid w:val="006C3332"/>
    <w:rsid w:val="006C3D62"/>
    <w:rsid w:val="006C4C26"/>
    <w:rsid w:val="006C552D"/>
    <w:rsid w:val="006C6442"/>
    <w:rsid w:val="006C705B"/>
    <w:rsid w:val="006C7B3B"/>
    <w:rsid w:val="006D08DF"/>
    <w:rsid w:val="006D0B5A"/>
    <w:rsid w:val="006D34E9"/>
    <w:rsid w:val="006D4FBF"/>
    <w:rsid w:val="006D59C6"/>
    <w:rsid w:val="006D708C"/>
    <w:rsid w:val="006D74E0"/>
    <w:rsid w:val="006D7D7F"/>
    <w:rsid w:val="006E04D8"/>
    <w:rsid w:val="006E3465"/>
    <w:rsid w:val="006E355D"/>
    <w:rsid w:val="006E4CCD"/>
    <w:rsid w:val="006E5F26"/>
    <w:rsid w:val="006E60CB"/>
    <w:rsid w:val="006E739D"/>
    <w:rsid w:val="006E7C80"/>
    <w:rsid w:val="006F0176"/>
    <w:rsid w:val="006F022E"/>
    <w:rsid w:val="006F0B70"/>
    <w:rsid w:val="006F0DD0"/>
    <w:rsid w:val="006F11CD"/>
    <w:rsid w:val="006F1DED"/>
    <w:rsid w:val="006F3794"/>
    <w:rsid w:val="006F5909"/>
    <w:rsid w:val="006F614A"/>
    <w:rsid w:val="006F6B69"/>
    <w:rsid w:val="00700317"/>
    <w:rsid w:val="007007A5"/>
    <w:rsid w:val="00701444"/>
    <w:rsid w:val="00701FD5"/>
    <w:rsid w:val="00702DFC"/>
    <w:rsid w:val="00703532"/>
    <w:rsid w:val="0070387D"/>
    <w:rsid w:val="00704774"/>
    <w:rsid w:val="007047B6"/>
    <w:rsid w:val="00704C7F"/>
    <w:rsid w:val="0070555A"/>
    <w:rsid w:val="00705C80"/>
    <w:rsid w:val="00705D9E"/>
    <w:rsid w:val="00706978"/>
    <w:rsid w:val="00710274"/>
    <w:rsid w:val="00710D6D"/>
    <w:rsid w:val="00711E3B"/>
    <w:rsid w:val="007142E6"/>
    <w:rsid w:val="0071505A"/>
    <w:rsid w:val="007156C3"/>
    <w:rsid w:val="00715A70"/>
    <w:rsid w:val="007163CB"/>
    <w:rsid w:val="00716566"/>
    <w:rsid w:val="00716E0E"/>
    <w:rsid w:val="00717149"/>
    <w:rsid w:val="007173BA"/>
    <w:rsid w:val="0071795D"/>
    <w:rsid w:val="007212FB"/>
    <w:rsid w:val="007218D1"/>
    <w:rsid w:val="00722027"/>
    <w:rsid w:val="00722E6B"/>
    <w:rsid w:val="0072397B"/>
    <w:rsid w:val="00723BB0"/>
    <w:rsid w:val="00724752"/>
    <w:rsid w:val="0072522A"/>
    <w:rsid w:val="0072570F"/>
    <w:rsid w:val="00726A7A"/>
    <w:rsid w:val="00726EDC"/>
    <w:rsid w:val="007279D6"/>
    <w:rsid w:val="00727D0A"/>
    <w:rsid w:val="00730CD4"/>
    <w:rsid w:val="0073146B"/>
    <w:rsid w:val="00732451"/>
    <w:rsid w:val="0073315F"/>
    <w:rsid w:val="00733580"/>
    <w:rsid w:val="007340C9"/>
    <w:rsid w:val="00734D38"/>
    <w:rsid w:val="00737862"/>
    <w:rsid w:val="00740053"/>
    <w:rsid w:val="007402F5"/>
    <w:rsid w:val="00741672"/>
    <w:rsid w:val="00741D61"/>
    <w:rsid w:val="00741FDE"/>
    <w:rsid w:val="00743287"/>
    <w:rsid w:val="00745548"/>
    <w:rsid w:val="00746A2B"/>
    <w:rsid w:val="00746C13"/>
    <w:rsid w:val="007471B1"/>
    <w:rsid w:val="0074722B"/>
    <w:rsid w:val="0074769D"/>
    <w:rsid w:val="00747E70"/>
    <w:rsid w:val="00750BDC"/>
    <w:rsid w:val="00751993"/>
    <w:rsid w:val="007521D5"/>
    <w:rsid w:val="00752F51"/>
    <w:rsid w:val="0075478F"/>
    <w:rsid w:val="00754ACD"/>
    <w:rsid w:val="00755618"/>
    <w:rsid w:val="00755CFE"/>
    <w:rsid w:val="0075649D"/>
    <w:rsid w:val="00756B26"/>
    <w:rsid w:val="00760054"/>
    <w:rsid w:val="0076012D"/>
    <w:rsid w:val="0076120C"/>
    <w:rsid w:val="007618A0"/>
    <w:rsid w:val="007634B1"/>
    <w:rsid w:val="0076388A"/>
    <w:rsid w:val="00763E43"/>
    <w:rsid w:val="00764AF4"/>
    <w:rsid w:val="007652E9"/>
    <w:rsid w:val="007653D4"/>
    <w:rsid w:val="007656C1"/>
    <w:rsid w:val="00765DC7"/>
    <w:rsid w:val="00767091"/>
    <w:rsid w:val="007677B6"/>
    <w:rsid w:val="0077213F"/>
    <w:rsid w:val="00773512"/>
    <w:rsid w:val="007737EC"/>
    <w:rsid w:val="00774C5F"/>
    <w:rsid w:val="00774EFE"/>
    <w:rsid w:val="00775D1A"/>
    <w:rsid w:val="007767BF"/>
    <w:rsid w:val="00776BD5"/>
    <w:rsid w:val="007770AE"/>
    <w:rsid w:val="00777195"/>
    <w:rsid w:val="007810E9"/>
    <w:rsid w:val="0078183C"/>
    <w:rsid w:val="00781D61"/>
    <w:rsid w:val="00782010"/>
    <w:rsid w:val="007830A3"/>
    <w:rsid w:val="00784C44"/>
    <w:rsid w:val="007850F4"/>
    <w:rsid w:val="00785230"/>
    <w:rsid w:val="00785860"/>
    <w:rsid w:val="00786387"/>
    <w:rsid w:val="00786896"/>
    <w:rsid w:val="00786E37"/>
    <w:rsid w:val="0079067B"/>
    <w:rsid w:val="007908B5"/>
    <w:rsid w:val="0079168A"/>
    <w:rsid w:val="00794B88"/>
    <w:rsid w:val="00794F65"/>
    <w:rsid w:val="00795759"/>
    <w:rsid w:val="00796084"/>
    <w:rsid w:val="00796C15"/>
    <w:rsid w:val="00796D69"/>
    <w:rsid w:val="007971EA"/>
    <w:rsid w:val="00797D2F"/>
    <w:rsid w:val="00797F4C"/>
    <w:rsid w:val="007A0698"/>
    <w:rsid w:val="007A094E"/>
    <w:rsid w:val="007A11A1"/>
    <w:rsid w:val="007A133E"/>
    <w:rsid w:val="007A17CD"/>
    <w:rsid w:val="007A1C93"/>
    <w:rsid w:val="007A3075"/>
    <w:rsid w:val="007A3A67"/>
    <w:rsid w:val="007A3BBD"/>
    <w:rsid w:val="007A3D87"/>
    <w:rsid w:val="007A48F3"/>
    <w:rsid w:val="007A4DD6"/>
    <w:rsid w:val="007A4EE1"/>
    <w:rsid w:val="007A5255"/>
    <w:rsid w:val="007A5875"/>
    <w:rsid w:val="007A6028"/>
    <w:rsid w:val="007A796C"/>
    <w:rsid w:val="007B1E39"/>
    <w:rsid w:val="007B203C"/>
    <w:rsid w:val="007B2F21"/>
    <w:rsid w:val="007B3791"/>
    <w:rsid w:val="007B3C76"/>
    <w:rsid w:val="007B4026"/>
    <w:rsid w:val="007B4048"/>
    <w:rsid w:val="007B42F5"/>
    <w:rsid w:val="007B5661"/>
    <w:rsid w:val="007B5AF2"/>
    <w:rsid w:val="007B5D18"/>
    <w:rsid w:val="007B76EE"/>
    <w:rsid w:val="007B7DBD"/>
    <w:rsid w:val="007C1EC5"/>
    <w:rsid w:val="007C24B9"/>
    <w:rsid w:val="007C2C85"/>
    <w:rsid w:val="007C3FC8"/>
    <w:rsid w:val="007C474A"/>
    <w:rsid w:val="007C4780"/>
    <w:rsid w:val="007C50E0"/>
    <w:rsid w:val="007C6CB8"/>
    <w:rsid w:val="007C7AE7"/>
    <w:rsid w:val="007C7D35"/>
    <w:rsid w:val="007D00C1"/>
    <w:rsid w:val="007D01F6"/>
    <w:rsid w:val="007D27A4"/>
    <w:rsid w:val="007D2B36"/>
    <w:rsid w:val="007D2EFD"/>
    <w:rsid w:val="007D38C5"/>
    <w:rsid w:val="007D3B6E"/>
    <w:rsid w:val="007D44F5"/>
    <w:rsid w:val="007D5428"/>
    <w:rsid w:val="007D6B51"/>
    <w:rsid w:val="007D776B"/>
    <w:rsid w:val="007E0C7A"/>
    <w:rsid w:val="007E171A"/>
    <w:rsid w:val="007E2017"/>
    <w:rsid w:val="007E234A"/>
    <w:rsid w:val="007E2702"/>
    <w:rsid w:val="007E3322"/>
    <w:rsid w:val="007E368C"/>
    <w:rsid w:val="007E3F51"/>
    <w:rsid w:val="007E3FAA"/>
    <w:rsid w:val="007E4094"/>
    <w:rsid w:val="007E4B67"/>
    <w:rsid w:val="007E5161"/>
    <w:rsid w:val="007E5332"/>
    <w:rsid w:val="007E54EA"/>
    <w:rsid w:val="007E5977"/>
    <w:rsid w:val="007E66CE"/>
    <w:rsid w:val="007E684D"/>
    <w:rsid w:val="007E6FD4"/>
    <w:rsid w:val="007F0711"/>
    <w:rsid w:val="007F2F01"/>
    <w:rsid w:val="007F4203"/>
    <w:rsid w:val="007F4347"/>
    <w:rsid w:val="007F513D"/>
    <w:rsid w:val="007F538B"/>
    <w:rsid w:val="007F53EE"/>
    <w:rsid w:val="007F5913"/>
    <w:rsid w:val="007F6A55"/>
    <w:rsid w:val="007F6BB6"/>
    <w:rsid w:val="007F72E3"/>
    <w:rsid w:val="007F7EE0"/>
    <w:rsid w:val="0080023A"/>
    <w:rsid w:val="0080145C"/>
    <w:rsid w:val="00801F72"/>
    <w:rsid w:val="008029EE"/>
    <w:rsid w:val="00802B11"/>
    <w:rsid w:val="00802BE3"/>
    <w:rsid w:val="00803B6E"/>
    <w:rsid w:val="008043C8"/>
    <w:rsid w:val="008048DF"/>
    <w:rsid w:val="00804AE4"/>
    <w:rsid w:val="008051C9"/>
    <w:rsid w:val="00805BF0"/>
    <w:rsid w:val="008061E7"/>
    <w:rsid w:val="00807A6B"/>
    <w:rsid w:val="008134FA"/>
    <w:rsid w:val="008140C9"/>
    <w:rsid w:val="00814F87"/>
    <w:rsid w:val="00815629"/>
    <w:rsid w:val="00815C3C"/>
    <w:rsid w:val="00815E6F"/>
    <w:rsid w:val="00822B7C"/>
    <w:rsid w:val="00822EA1"/>
    <w:rsid w:val="0082306C"/>
    <w:rsid w:val="00823E66"/>
    <w:rsid w:val="00823FC9"/>
    <w:rsid w:val="008245BA"/>
    <w:rsid w:val="00825D88"/>
    <w:rsid w:val="00826EFC"/>
    <w:rsid w:val="00827A3B"/>
    <w:rsid w:val="00827C3D"/>
    <w:rsid w:val="00830262"/>
    <w:rsid w:val="008313C4"/>
    <w:rsid w:val="00831643"/>
    <w:rsid w:val="008321FB"/>
    <w:rsid w:val="0083263F"/>
    <w:rsid w:val="00833762"/>
    <w:rsid w:val="00833A1D"/>
    <w:rsid w:val="00834E12"/>
    <w:rsid w:val="008352A5"/>
    <w:rsid w:val="00835429"/>
    <w:rsid w:val="0083574C"/>
    <w:rsid w:val="00835DC7"/>
    <w:rsid w:val="0083640A"/>
    <w:rsid w:val="00836F5A"/>
    <w:rsid w:val="00837C88"/>
    <w:rsid w:val="0084005C"/>
    <w:rsid w:val="00840891"/>
    <w:rsid w:val="00841319"/>
    <w:rsid w:val="008446FA"/>
    <w:rsid w:val="00845BFF"/>
    <w:rsid w:val="0084770E"/>
    <w:rsid w:val="00847CE4"/>
    <w:rsid w:val="00847F2A"/>
    <w:rsid w:val="00850BBD"/>
    <w:rsid w:val="00851BB4"/>
    <w:rsid w:val="00851D3D"/>
    <w:rsid w:val="00851F0C"/>
    <w:rsid w:val="00854CEE"/>
    <w:rsid w:val="00854E5F"/>
    <w:rsid w:val="0085531C"/>
    <w:rsid w:val="008555A7"/>
    <w:rsid w:val="00855FE7"/>
    <w:rsid w:val="00856F8D"/>
    <w:rsid w:val="00856FE2"/>
    <w:rsid w:val="008572A4"/>
    <w:rsid w:val="008601E0"/>
    <w:rsid w:val="00860CF8"/>
    <w:rsid w:val="008620D6"/>
    <w:rsid w:val="00862413"/>
    <w:rsid w:val="0086263F"/>
    <w:rsid w:val="00862CF1"/>
    <w:rsid w:val="00863249"/>
    <w:rsid w:val="00863816"/>
    <w:rsid w:val="00864396"/>
    <w:rsid w:val="00864FD8"/>
    <w:rsid w:val="00865112"/>
    <w:rsid w:val="008652A2"/>
    <w:rsid w:val="00866900"/>
    <w:rsid w:val="00866CE3"/>
    <w:rsid w:val="00870344"/>
    <w:rsid w:val="00871D1C"/>
    <w:rsid w:val="00871D40"/>
    <w:rsid w:val="00873327"/>
    <w:rsid w:val="008743D8"/>
    <w:rsid w:val="008743F8"/>
    <w:rsid w:val="0087608B"/>
    <w:rsid w:val="00877875"/>
    <w:rsid w:val="00877FD7"/>
    <w:rsid w:val="00880516"/>
    <w:rsid w:val="0088110D"/>
    <w:rsid w:val="00881417"/>
    <w:rsid w:val="00881DD0"/>
    <w:rsid w:val="0088247B"/>
    <w:rsid w:val="00882967"/>
    <w:rsid w:val="00882A4F"/>
    <w:rsid w:val="00882CD8"/>
    <w:rsid w:val="00882E8B"/>
    <w:rsid w:val="00883990"/>
    <w:rsid w:val="00883BC3"/>
    <w:rsid w:val="008846C6"/>
    <w:rsid w:val="008856D8"/>
    <w:rsid w:val="00885D56"/>
    <w:rsid w:val="00886344"/>
    <w:rsid w:val="00886593"/>
    <w:rsid w:val="00886CB2"/>
    <w:rsid w:val="00886D37"/>
    <w:rsid w:val="0088719F"/>
    <w:rsid w:val="008877F6"/>
    <w:rsid w:val="00887C7D"/>
    <w:rsid w:val="00887FC6"/>
    <w:rsid w:val="00887FCA"/>
    <w:rsid w:val="00890721"/>
    <w:rsid w:val="00890E55"/>
    <w:rsid w:val="008911EA"/>
    <w:rsid w:val="00891ABD"/>
    <w:rsid w:val="00891EC9"/>
    <w:rsid w:val="00891F83"/>
    <w:rsid w:val="00892AB0"/>
    <w:rsid w:val="00894FBC"/>
    <w:rsid w:val="008A03F9"/>
    <w:rsid w:val="008A0B6F"/>
    <w:rsid w:val="008A0DBB"/>
    <w:rsid w:val="008A1ACA"/>
    <w:rsid w:val="008A1E14"/>
    <w:rsid w:val="008A3F1B"/>
    <w:rsid w:val="008A4075"/>
    <w:rsid w:val="008A41AF"/>
    <w:rsid w:val="008A43D5"/>
    <w:rsid w:val="008A5C12"/>
    <w:rsid w:val="008A62EC"/>
    <w:rsid w:val="008A731E"/>
    <w:rsid w:val="008B05BD"/>
    <w:rsid w:val="008B08CE"/>
    <w:rsid w:val="008B4539"/>
    <w:rsid w:val="008B48BF"/>
    <w:rsid w:val="008B4BDA"/>
    <w:rsid w:val="008B56EA"/>
    <w:rsid w:val="008B5D17"/>
    <w:rsid w:val="008B654A"/>
    <w:rsid w:val="008B66E4"/>
    <w:rsid w:val="008B6918"/>
    <w:rsid w:val="008B775E"/>
    <w:rsid w:val="008C1426"/>
    <w:rsid w:val="008C1B7E"/>
    <w:rsid w:val="008C2A53"/>
    <w:rsid w:val="008C37AE"/>
    <w:rsid w:val="008C4B10"/>
    <w:rsid w:val="008C5018"/>
    <w:rsid w:val="008C52B1"/>
    <w:rsid w:val="008C5492"/>
    <w:rsid w:val="008C59CA"/>
    <w:rsid w:val="008C6CEA"/>
    <w:rsid w:val="008C745F"/>
    <w:rsid w:val="008D0F23"/>
    <w:rsid w:val="008D1DED"/>
    <w:rsid w:val="008D362B"/>
    <w:rsid w:val="008D3E66"/>
    <w:rsid w:val="008D490D"/>
    <w:rsid w:val="008D4B71"/>
    <w:rsid w:val="008D58BD"/>
    <w:rsid w:val="008D67D5"/>
    <w:rsid w:val="008D7428"/>
    <w:rsid w:val="008D75CC"/>
    <w:rsid w:val="008E157A"/>
    <w:rsid w:val="008E1DD2"/>
    <w:rsid w:val="008E1F6E"/>
    <w:rsid w:val="008E24B2"/>
    <w:rsid w:val="008E2AD1"/>
    <w:rsid w:val="008E2E1F"/>
    <w:rsid w:val="008E3053"/>
    <w:rsid w:val="008E474B"/>
    <w:rsid w:val="008E5BBD"/>
    <w:rsid w:val="008E5F12"/>
    <w:rsid w:val="008E64D6"/>
    <w:rsid w:val="008E6BB4"/>
    <w:rsid w:val="008E710C"/>
    <w:rsid w:val="008E7980"/>
    <w:rsid w:val="008E7CC9"/>
    <w:rsid w:val="008E7F1C"/>
    <w:rsid w:val="008F18A8"/>
    <w:rsid w:val="008F25F5"/>
    <w:rsid w:val="008F382A"/>
    <w:rsid w:val="008F518A"/>
    <w:rsid w:val="008F76A1"/>
    <w:rsid w:val="008F779C"/>
    <w:rsid w:val="0090202C"/>
    <w:rsid w:val="0090287E"/>
    <w:rsid w:val="00902E7E"/>
    <w:rsid w:val="00903A59"/>
    <w:rsid w:val="00904FC9"/>
    <w:rsid w:val="00905284"/>
    <w:rsid w:val="00905B56"/>
    <w:rsid w:val="00906C57"/>
    <w:rsid w:val="00906EB7"/>
    <w:rsid w:val="0090728A"/>
    <w:rsid w:val="009100EF"/>
    <w:rsid w:val="00912862"/>
    <w:rsid w:val="0091342E"/>
    <w:rsid w:val="0091359F"/>
    <w:rsid w:val="00913785"/>
    <w:rsid w:val="00915258"/>
    <w:rsid w:val="009153D6"/>
    <w:rsid w:val="00915554"/>
    <w:rsid w:val="00917071"/>
    <w:rsid w:val="009170CA"/>
    <w:rsid w:val="00917B5A"/>
    <w:rsid w:val="00921EE5"/>
    <w:rsid w:val="00922086"/>
    <w:rsid w:val="00926E99"/>
    <w:rsid w:val="009271B5"/>
    <w:rsid w:val="00930D02"/>
    <w:rsid w:val="00932787"/>
    <w:rsid w:val="00933FC8"/>
    <w:rsid w:val="0093446D"/>
    <w:rsid w:val="00934826"/>
    <w:rsid w:val="00934C1A"/>
    <w:rsid w:val="00935BF9"/>
    <w:rsid w:val="0093624C"/>
    <w:rsid w:val="00936681"/>
    <w:rsid w:val="00936E04"/>
    <w:rsid w:val="0093739F"/>
    <w:rsid w:val="00937557"/>
    <w:rsid w:val="0094004B"/>
    <w:rsid w:val="0094090D"/>
    <w:rsid w:val="009420B3"/>
    <w:rsid w:val="009421A2"/>
    <w:rsid w:val="00942F56"/>
    <w:rsid w:val="009430FC"/>
    <w:rsid w:val="009445DF"/>
    <w:rsid w:val="00944ED7"/>
    <w:rsid w:val="00945E96"/>
    <w:rsid w:val="00947038"/>
    <w:rsid w:val="0095098E"/>
    <w:rsid w:val="0095111C"/>
    <w:rsid w:val="009523A6"/>
    <w:rsid w:val="00952D16"/>
    <w:rsid w:val="00953C8C"/>
    <w:rsid w:val="00954706"/>
    <w:rsid w:val="00956110"/>
    <w:rsid w:val="00956667"/>
    <w:rsid w:val="0095762D"/>
    <w:rsid w:val="009577B1"/>
    <w:rsid w:val="00960557"/>
    <w:rsid w:val="0096217E"/>
    <w:rsid w:val="00962664"/>
    <w:rsid w:val="00963A84"/>
    <w:rsid w:val="00963FAB"/>
    <w:rsid w:val="0096401C"/>
    <w:rsid w:val="00964CFA"/>
    <w:rsid w:val="009652AC"/>
    <w:rsid w:val="00965CAF"/>
    <w:rsid w:val="009663C8"/>
    <w:rsid w:val="00966A06"/>
    <w:rsid w:val="009674E5"/>
    <w:rsid w:val="00967E24"/>
    <w:rsid w:val="00967ED0"/>
    <w:rsid w:val="0097049E"/>
    <w:rsid w:val="00970723"/>
    <w:rsid w:val="00970D3D"/>
    <w:rsid w:val="00970E44"/>
    <w:rsid w:val="009718F6"/>
    <w:rsid w:val="00971AC1"/>
    <w:rsid w:val="00971E92"/>
    <w:rsid w:val="0097313F"/>
    <w:rsid w:val="00973B6F"/>
    <w:rsid w:val="00973E2F"/>
    <w:rsid w:val="00974213"/>
    <w:rsid w:val="0097437F"/>
    <w:rsid w:val="009745EC"/>
    <w:rsid w:val="00975375"/>
    <w:rsid w:val="009754F2"/>
    <w:rsid w:val="00975890"/>
    <w:rsid w:val="00977FCB"/>
    <w:rsid w:val="009816B2"/>
    <w:rsid w:val="009822CE"/>
    <w:rsid w:val="00983D22"/>
    <w:rsid w:val="00983DD4"/>
    <w:rsid w:val="00985025"/>
    <w:rsid w:val="0098607B"/>
    <w:rsid w:val="00986D55"/>
    <w:rsid w:val="00986DB8"/>
    <w:rsid w:val="00987F9A"/>
    <w:rsid w:val="00987FB1"/>
    <w:rsid w:val="00990736"/>
    <w:rsid w:val="0099189F"/>
    <w:rsid w:val="00993824"/>
    <w:rsid w:val="009938D3"/>
    <w:rsid w:val="00993FBF"/>
    <w:rsid w:val="009951CA"/>
    <w:rsid w:val="00996253"/>
    <w:rsid w:val="0099684A"/>
    <w:rsid w:val="00996BB9"/>
    <w:rsid w:val="00997459"/>
    <w:rsid w:val="00997A4D"/>
    <w:rsid w:val="00997B8F"/>
    <w:rsid w:val="009A15E6"/>
    <w:rsid w:val="009A16EE"/>
    <w:rsid w:val="009A1CF5"/>
    <w:rsid w:val="009A2C41"/>
    <w:rsid w:val="009A3E3D"/>
    <w:rsid w:val="009A4B69"/>
    <w:rsid w:val="009A50AF"/>
    <w:rsid w:val="009A53CC"/>
    <w:rsid w:val="009A632C"/>
    <w:rsid w:val="009A6E34"/>
    <w:rsid w:val="009A7D55"/>
    <w:rsid w:val="009A7E84"/>
    <w:rsid w:val="009B1279"/>
    <w:rsid w:val="009B137A"/>
    <w:rsid w:val="009B1CB4"/>
    <w:rsid w:val="009B2994"/>
    <w:rsid w:val="009B4AC7"/>
    <w:rsid w:val="009B4E04"/>
    <w:rsid w:val="009B5721"/>
    <w:rsid w:val="009B5D0A"/>
    <w:rsid w:val="009B608F"/>
    <w:rsid w:val="009B6C55"/>
    <w:rsid w:val="009B6D35"/>
    <w:rsid w:val="009B6DDD"/>
    <w:rsid w:val="009C03B2"/>
    <w:rsid w:val="009C1112"/>
    <w:rsid w:val="009C200C"/>
    <w:rsid w:val="009C2442"/>
    <w:rsid w:val="009C26EF"/>
    <w:rsid w:val="009C42C0"/>
    <w:rsid w:val="009C4559"/>
    <w:rsid w:val="009C48F3"/>
    <w:rsid w:val="009C4A61"/>
    <w:rsid w:val="009C5372"/>
    <w:rsid w:val="009C618F"/>
    <w:rsid w:val="009C6AC6"/>
    <w:rsid w:val="009C6BE2"/>
    <w:rsid w:val="009C72EB"/>
    <w:rsid w:val="009C78AD"/>
    <w:rsid w:val="009D0B3F"/>
    <w:rsid w:val="009D174B"/>
    <w:rsid w:val="009D1957"/>
    <w:rsid w:val="009D304D"/>
    <w:rsid w:val="009D4543"/>
    <w:rsid w:val="009D4C46"/>
    <w:rsid w:val="009D62BC"/>
    <w:rsid w:val="009D6698"/>
    <w:rsid w:val="009D691D"/>
    <w:rsid w:val="009D7B4C"/>
    <w:rsid w:val="009D7EBC"/>
    <w:rsid w:val="009E256D"/>
    <w:rsid w:val="009E2D0F"/>
    <w:rsid w:val="009E411A"/>
    <w:rsid w:val="009E4FF3"/>
    <w:rsid w:val="009E507B"/>
    <w:rsid w:val="009E53BB"/>
    <w:rsid w:val="009E7202"/>
    <w:rsid w:val="009E7CEA"/>
    <w:rsid w:val="009F0203"/>
    <w:rsid w:val="009F0867"/>
    <w:rsid w:val="009F090D"/>
    <w:rsid w:val="009F3639"/>
    <w:rsid w:val="009F44A4"/>
    <w:rsid w:val="009F484B"/>
    <w:rsid w:val="009F540F"/>
    <w:rsid w:val="009F5671"/>
    <w:rsid w:val="009F5B9E"/>
    <w:rsid w:val="009F632C"/>
    <w:rsid w:val="009F6897"/>
    <w:rsid w:val="009F70CC"/>
    <w:rsid w:val="00A00579"/>
    <w:rsid w:val="00A0090A"/>
    <w:rsid w:val="00A0260B"/>
    <w:rsid w:val="00A0376A"/>
    <w:rsid w:val="00A03B7C"/>
    <w:rsid w:val="00A07A53"/>
    <w:rsid w:val="00A109F6"/>
    <w:rsid w:val="00A10C76"/>
    <w:rsid w:val="00A110D5"/>
    <w:rsid w:val="00A110DC"/>
    <w:rsid w:val="00A111E2"/>
    <w:rsid w:val="00A11A72"/>
    <w:rsid w:val="00A13C79"/>
    <w:rsid w:val="00A14824"/>
    <w:rsid w:val="00A14BAA"/>
    <w:rsid w:val="00A150F6"/>
    <w:rsid w:val="00A15202"/>
    <w:rsid w:val="00A15B4D"/>
    <w:rsid w:val="00A16101"/>
    <w:rsid w:val="00A16961"/>
    <w:rsid w:val="00A2064C"/>
    <w:rsid w:val="00A20C42"/>
    <w:rsid w:val="00A21828"/>
    <w:rsid w:val="00A21BB6"/>
    <w:rsid w:val="00A21C8E"/>
    <w:rsid w:val="00A241B7"/>
    <w:rsid w:val="00A24257"/>
    <w:rsid w:val="00A245D3"/>
    <w:rsid w:val="00A25ECA"/>
    <w:rsid w:val="00A2697C"/>
    <w:rsid w:val="00A275FE"/>
    <w:rsid w:val="00A302B7"/>
    <w:rsid w:val="00A30ADA"/>
    <w:rsid w:val="00A31073"/>
    <w:rsid w:val="00A312D6"/>
    <w:rsid w:val="00A31A19"/>
    <w:rsid w:val="00A31DA7"/>
    <w:rsid w:val="00A32FC0"/>
    <w:rsid w:val="00A3365B"/>
    <w:rsid w:val="00A344FE"/>
    <w:rsid w:val="00A3505D"/>
    <w:rsid w:val="00A359C0"/>
    <w:rsid w:val="00A375B5"/>
    <w:rsid w:val="00A403E0"/>
    <w:rsid w:val="00A40982"/>
    <w:rsid w:val="00A40D42"/>
    <w:rsid w:val="00A40F1E"/>
    <w:rsid w:val="00A43690"/>
    <w:rsid w:val="00A4382D"/>
    <w:rsid w:val="00A43B1E"/>
    <w:rsid w:val="00A44B60"/>
    <w:rsid w:val="00A456CE"/>
    <w:rsid w:val="00A45D22"/>
    <w:rsid w:val="00A466F5"/>
    <w:rsid w:val="00A47899"/>
    <w:rsid w:val="00A47BFE"/>
    <w:rsid w:val="00A510D1"/>
    <w:rsid w:val="00A51EFB"/>
    <w:rsid w:val="00A53687"/>
    <w:rsid w:val="00A549A8"/>
    <w:rsid w:val="00A570A2"/>
    <w:rsid w:val="00A57402"/>
    <w:rsid w:val="00A57DCD"/>
    <w:rsid w:val="00A61685"/>
    <w:rsid w:val="00A62C94"/>
    <w:rsid w:val="00A6333B"/>
    <w:rsid w:val="00A63654"/>
    <w:rsid w:val="00A6462E"/>
    <w:rsid w:val="00A64C1A"/>
    <w:rsid w:val="00A656CD"/>
    <w:rsid w:val="00A66140"/>
    <w:rsid w:val="00A67484"/>
    <w:rsid w:val="00A702E6"/>
    <w:rsid w:val="00A703B1"/>
    <w:rsid w:val="00A70A59"/>
    <w:rsid w:val="00A71CBA"/>
    <w:rsid w:val="00A72790"/>
    <w:rsid w:val="00A73DAA"/>
    <w:rsid w:val="00A74866"/>
    <w:rsid w:val="00A7512F"/>
    <w:rsid w:val="00A7669B"/>
    <w:rsid w:val="00A77DEF"/>
    <w:rsid w:val="00A77F6C"/>
    <w:rsid w:val="00A80382"/>
    <w:rsid w:val="00A807AB"/>
    <w:rsid w:val="00A8124A"/>
    <w:rsid w:val="00A81E94"/>
    <w:rsid w:val="00A82C00"/>
    <w:rsid w:val="00A8395D"/>
    <w:rsid w:val="00A841FF"/>
    <w:rsid w:val="00A84819"/>
    <w:rsid w:val="00A850C0"/>
    <w:rsid w:val="00A8590E"/>
    <w:rsid w:val="00A86145"/>
    <w:rsid w:val="00A8698C"/>
    <w:rsid w:val="00A86CE3"/>
    <w:rsid w:val="00A87B6B"/>
    <w:rsid w:val="00A90052"/>
    <w:rsid w:val="00A901A9"/>
    <w:rsid w:val="00A906A8"/>
    <w:rsid w:val="00A92B8E"/>
    <w:rsid w:val="00A92CAD"/>
    <w:rsid w:val="00A936A2"/>
    <w:rsid w:val="00A93CB2"/>
    <w:rsid w:val="00A94E26"/>
    <w:rsid w:val="00A94EEB"/>
    <w:rsid w:val="00A95DB8"/>
    <w:rsid w:val="00A961E8"/>
    <w:rsid w:val="00A961FB"/>
    <w:rsid w:val="00A96265"/>
    <w:rsid w:val="00A97124"/>
    <w:rsid w:val="00A9754B"/>
    <w:rsid w:val="00A97584"/>
    <w:rsid w:val="00A977E3"/>
    <w:rsid w:val="00AA1799"/>
    <w:rsid w:val="00AA20D2"/>
    <w:rsid w:val="00AA425F"/>
    <w:rsid w:val="00AA663A"/>
    <w:rsid w:val="00AA7114"/>
    <w:rsid w:val="00AA711D"/>
    <w:rsid w:val="00AA7140"/>
    <w:rsid w:val="00AA7448"/>
    <w:rsid w:val="00AA7C0E"/>
    <w:rsid w:val="00AB17AF"/>
    <w:rsid w:val="00AB22C0"/>
    <w:rsid w:val="00AB2369"/>
    <w:rsid w:val="00AB3B4C"/>
    <w:rsid w:val="00AB537C"/>
    <w:rsid w:val="00AB5B0C"/>
    <w:rsid w:val="00AB6C36"/>
    <w:rsid w:val="00AB7175"/>
    <w:rsid w:val="00AB7A88"/>
    <w:rsid w:val="00AB7C49"/>
    <w:rsid w:val="00AC1583"/>
    <w:rsid w:val="00AC1FC8"/>
    <w:rsid w:val="00AC2541"/>
    <w:rsid w:val="00AC3BCF"/>
    <w:rsid w:val="00AC43A4"/>
    <w:rsid w:val="00AC58E4"/>
    <w:rsid w:val="00AC5B34"/>
    <w:rsid w:val="00AC621F"/>
    <w:rsid w:val="00AC7199"/>
    <w:rsid w:val="00AC7B66"/>
    <w:rsid w:val="00AD0E49"/>
    <w:rsid w:val="00AD1017"/>
    <w:rsid w:val="00AD43AB"/>
    <w:rsid w:val="00AD47DC"/>
    <w:rsid w:val="00AD490E"/>
    <w:rsid w:val="00AD61FF"/>
    <w:rsid w:val="00AD696A"/>
    <w:rsid w:val="00AD6C81"/>
    <w:rsid w:val="00AD6DF6"/>
    <w:rsid w:val="00AD6FEC"/>
    <w:rsid w:val="00AD7885"/>
    <w:rsid w:val="00AE1336"/>
    <w:rsid w:val="00AE24F1"/>
    <w:rsid w:val="00AE2822"/>
    <w:rsid w:val="00AE5C22"/>
    <w:rsid w:val="00AE64D3"/>
    <w:rsid w:val="00AE6D69"/>
    <w:rsid w:val="00AE72F3"/>
    <w:rsid w:val="00AF032B"/>
    <w:rsid w:val="00AF0E09"/>
    <w:rsid w:val="00AF3645"/>
    <w:rsid w:val="00AF38C0"/>
    <w:rsid w:val="00AF4439"/>
    <w:rsid w:val="00AF4F12"/>
    <w:rsid w:val="00AF523A"/>
    <w:rsid w:val="00AF6C19"/>
    <w:rsid w:val="00AF70F3"/>
    <w:rsid w:val="00AF7CF4"/>
    <w:rsid w:val="00B00152"/>
    <w:rsid w:val="00B01B7D"/>
    <w:rsid w:val="00B032CE"/>
    <w:rsid w:val="00B03645"/>
    <w:rsid w:val="00B03854"/>
    <w:rsid w:val="00B050A9"/>
    <w:rsid w:val="00B06AFA"/>
    <w:rsid w:val="00B07230"/>
    <w:rsid w:val="00B11663"/>
    <w:rsid w:val="00B11B00"/>
    <w:rsid w:val="00B123CC"/>
    <w:rsid w:val="00B1304E"/>
    <w:rsid w:val="00B13C07"/>
    <w:rsid w:val="00B14B02"/>
    <w:rsid w:val="00B159A2"/>
    <w:rsid w:val="00B15D68"/>
    <w:rsid w:val="00B15EEC"/>
    <w:rsid w:val="00B16CC2"/>
    <w:rsid w:val="00B21178"/>
    <w:rsid w:val="00B21220"/>
    <w:rsid w:val="00B21F7F"/>
    <w:rsid w:val="00B24568"/>
    <w:rsid w:val="00B26447"/>
    <w:rsid w:val="00B27308"/>
    <w:rsid w:val="00B2779B"/>
    <w:rsid w:val="00B2779C"/>
    <w:rsid w:val="00B3045D"/>
    <w:rsid w:val="00B33B13"/>
    <w:rsid w:val="00B344F2"/>
    <w:rsid w:val="00B359B9"/>
    <w:rsid w:val="00B36295"/>
    <w:rsid w:val="00B37501"/>
    <w:rsid w:val="00B37C79"/>
    <w:rsid w:val="00B37EEF"/>
    <w:rsid w:val="00B40C0B"/>
    <w:rsid w:val="00B40D62"/>
    <w:rsid w:val="00B40DBE"/>
    <w:rsid w:val="00B41368"/>
    <w:rsid w:val="00B4157D"/>
    <w:rsid w:val="00B41D3A"/>
    <w:rsid w:val="00B43AA3"/>
    <w:rsid w:val="00B44840"/>
    <w:rsid w:val="00B47067"/>
    <w:rsid w:val="00B511A9"/>
    <w:rsid w:val="00B5225D"/>
    <w:rsid w:val="00B54E53"/>
    <w:rsid w:val="00B54E9B"/>
    <w:rsid w:val="00B56121"/>
    <w:rsid w:val="00B57821"/>
    <w:rsid w:val="00B60985"/>
    <w:rsid w:val="00B609AE"/>
    <w:rsid w:val="00B62FC5"/>
    <w:rsid w:val="00B648A0"/>
    <w:rsid w:val="00B6500D"/>
    <w:rsid w:val="00B65615"/>
    <w:rsid w:val="00B6593A"/>
    <w:rsid w:val="00B65EB6"/>
    <w:rsid w:val="00B66ABF"/>
    <w:rsid w:val="00B66F42"/>
    <w:rsid w:val="00B70DDC"/>
    <w:rsid w:val="00B719A9"/>
    <w:rsid w:val="00B729A3"/>
    <w:rsid w:val="00B72F77"/>
    <w:rsid w:val="00B732B0"/>
    <w:rsid w:val="00B73E04"/>
    <w:rsid w:val="00B75424"/>
    <w:rsid w:val="00B75673"/>
    <w:rsid w:val="00B75A96"/>
    <w:rsid w:val="00B767C5"/>
    <w:rsid w:val="00B7739B"/>
    <w:rsid w:val="00B774C2"/>
    <w:rsid w:val="00B77D30"/>
    <w:rsid w:val="00B77F0C"/>
    <w:rsid w:val="00B80CF8"/>
    <w:rsid w:val="00B80D39"/>
    <w:rsid w:val="00B80E5C"/>
    <w:rsid w:val="00B81155"/>
    <w:rsid w:val="00B81889"/>
    <w:rsid w:val="00B81EFB"/>
    <w:rsid w:val="00B83D3F"/>
    <w:rsid w:val="00B85458"/>
    <w:rsid w:val="00B856CA"/>
    <w:rsid w:val="00B85717"/>
    <w:rsid w:val="00B86689"/>
    <w:rsid w:val="00B866AB"/>
    <w:rsid w:val="00B86F48"/>
    <w:rsid w:val="00B90DF4"/>
    <w:rsid w:val="00B917BD"/>
    <w:rsid w:val="00B91916"/>
    <w:rsid w:val="00B91FDF"/>
    <w:rsid w:val="00B920E6"/>
    <w:rsid w:val="00B92FB9"/>
    <w:rsid w:val="00B9477C"/>
    <w:rsid w:val="00B948B5"/>
    <w:rsid w:val="00B948D8"/>
    <w:rsid w:val="00B94AE1"/>
    <w:rsid w:val="00B954A3"/>
    <w:rsid w:val="00B95CD7"/>
    <w:rsid w:val="00B968E1"/>
    <w:rsid w:val="00B973B8"/>
    <w:rsid w:val="00B97AB0"/>
    <w:rsid w:val="00B97E30"/>
    <w:rsid w:val="00BA048F"/>
    <w:rsid w:val="00BA0E82"/>
    <w:rsid w:val="00BA10C2"/>
    <w:rsid w:val="00BA1528"/>
    <w:rsid w:val="00BA1FCE"/>
    <w:rsid w:val="00BA20F8"/>
    <w:rsid w:val="00BA29BE"/>
    <w:rsid w:val="00BA2B60"/>
    <w:rsid w:val="00BA2FFA"/>
    <w:rsid w:val="00BA3F7C"/>
    <w:rsid w:val="00BA4517"/>
    <w:rsid w:val="00BA4893"/>
    <w:rsid w:val="00BA5A77"/>
    <w:rsid w:val="00BA6571"/>
    <w:rsid w:val="00BA70BF"/>
    <w:rsid w:val="00BA7392"/>
    <w:rsid w:val="00BB1284"/>
    <w:rsid w:val="00BB1DDE"/>
    <w:rsid w:val="00BB1F6A"/>
    <w:rsid w:val="00BB3294"/>
    <w:rsid w:val="00BB45CF"/>
    <w:rsid w:val="00BB46AA"/>
    <w:rsid w:val="00BB487C"/>
    <w:rsid w:val="00BB56C5"/>
    <w:rsid w:val="00BB6C0D"/>
    <w:rsid w:val="00BB719B"/>
    <w:rsid w:val="00BB777E"/>
    <w:rsid w:val="00BC0670"/>
    <w:rsid w:val="00BC0756"/>
    <w:rsid w:val="00BC1298"/>
    <w:rsid w:val="00BC21C3"/>
    <w:rsid w:val="00BC220E"/>
    <w:rsid w:val="00BC3805"/>
    <w:rsid w:val="00BC3872"/>
    <w:rsid w:val="00BC575A"/>
    <w:rsid w:val="00BC5C13"/>
    <w:rsid w:val="00BC61ED"/>
    <w:rsid w:val="00BC63FD"/>
    <w:rsid w:val="00BC7CCC"/>
    <w:rsid w:val="00BC7FA5"/>
    <w:rsid w:val="00BD01C5"/>
    <w:rsid w:val="00BD0BC2"/>
    <w:rsid w:val="00BD1EC2"/>
    <w:rsid w:val="00BD2037"/>
    <w:rsid w:val="00BD28F7"/>
    <w:rsid w:val="00BD3826"/>
    <w:rsid w:val="00BD4733"/>
    <w:rsid w:val="00BD4806"/>
    <w:rsid w:val="00BD4FA6"/>
    <w:rsid w:val="00BD5159"/>
    <w:rsid w:val="00BD5BC0"/>
    <w:rsid w:val="00BD6355"/>
    <w:rsid w:val="00BD68FB"/>
    <w:rsid w:val="00BD7723"/>
    <w:rsid w:val="00BD7C4E"/>
    <w:rsid w:val="00BE0024"/>
    <w:rsid w:val="00BE0B82"/>
    <w:rsid w:val="00BE1361"/>
    <w:rsid w:val="00BE1A4A"/>
    <w:rsid w:val="00BE25B8"/>
    <w:rsid w:val="00BE25E1"/>
    <w:rsid w:val="00BE26C8"/>
    <w:rsid w:val="00BE3085"/>
    <w:rsid w:val="00BE352E"/>
    <w:rsid w:val="00BE35E5"/>
    <w:rsid w:val="00BE38D5"/>
    <w:rsid w:val="00BE3F68"/>
    <w:rsid w:val="00BE475A"/>
    <w:rsid w:val="00BE4873"/>
    <w:rsid w:val="00BE68C9"/>
    <w:rsid w:val="00BE6CB1"/>
    <w:rsid w:val="00BE7866"/>
    <w:rsid w:val="00BE7CBB"/>
    <w:rsid w:val="00BF0ACE"/>
    <w:rsid w:val="00BF0B4D"/>
    <w:rsid w:val="00BF0FDA"/>
    <w:rsid w:val="00BF16F1"/>
    <w:rsid w:val="00BF27B3"/>
    <w:rsid w:val="00BF2A61"/>
    <w:rsid w:val="00BF337F"/>
    <w:rsid w:val="00BF4A3C"/>
    <w:rsid w:val="00BF4C94"/>
    <w:rsid w:val="00BF55CF"/>
    <w:rsid w:val="00BF5BEC"/>
    <w:rsid w:val="00BF62D7"/>
    <w:rsid w:val="00BF7621"/>
    <w:rsid w:val="00BF7FD0"/>
    <w:rsid w:val="00C00924"/>
    <w:rsid w:val="00C00928"/>
    <w:rsid w:val="00C019B4"/>
    <w:rsid w:val="00C01C66"/>
    <w:rsid w:val="00C01EEA"/>
    <w:rsid w:val="00C026B9"/>
    <w:rsid w:val="00C02EF0"/>
    <w:rsid w:val="00C04B97"/>
    <w:rsid w:val="00C0569A"/>
    <w:rsid w:val="00C05E26"/>
    <w:rsid w:val="00C06402"/>
    <w:rsid w:val="00C06D7D"/>
    <w:rsid w:val="00C06E62"/>
    <w:rsid w:val="00C07359"/>
    <w:rsid w:val="00C07B87"/>
    <w:rsid w:val="00C10473"/>
    <w:rsid w:val="00C10F59"/>
    <w:rsid w:val="00C11E61"/>
    <w:rsid w:val="00C12463"/>
    <w:rsid w:val="00C125D7"/>
    <w:rsid w:val="00C128CE"/>
    <w:rsid w:val="00C12A50"/>
    <w:rsid w:val="00C13258"/>
    <w:rsid w:val="00C132D0"/>
    <w:rsid w:val="00C138A9"/>
    <w:rsid w:val="00C142C2"/>
    <w:rsid w:val="00C15389"/>
    <w:rsid w:val="00C15D0F"/>
    <w:rsid w:val="00C17922"/>
    <w:rsid w:val="00C20E05"/>
    <w:rsid w:val="00C20F0A"/>
    <w:rsid w:val="00C21C4A"/>
    <w:rsid w:val="00C226A4"/>
    <w:rsid w:val="00C232E8"/>
    <w:rsid w:val="00C2481F"/>
    <w:rsid w:val="00C24DDD"/>
    <w:rsid w:val="00C254B9"/>
    <w:rsid w:val="00C25828"/>
    <w:rsid w:val="00C25896"/>
    <w:rsid w:val="00C26C77"/>
    <w:rsid w:val="00C300B7"/>
    <w:rsid w:val="00C31D3F"/>
    <w:rsid w:val="00C32FC2"/>
    <w:rsid w:val="00C3308E"/>
    <w:rsid w:val="00C33420"/>
    <w:rsid w:val="00C33B11"/>
    <w:rsid w:val="00C34B3B"/>
    <w:rsid w:val="00C34B72"/>
    <w:rsid w:val="00C3561D"/>
    <w:rsid w:val="00C35765"/>
    <w:rsid w:val="00C37332"/>
    <w:rsid w:val="00C374AD"/>
    <w:rsid w:val="00C405B3"/>
    <w:rsid w:val="00C40FDA"/>
    <w:rsid w:val="00C41262"/>
    <w:rsid w:val="00C41988"/>
    <w:rsid w:val="00C41A56"/>
    <w:rsid w:val="00C424EE"/>
    <w:rsid w:val="00C435A3"/>
    <w:rsid w:val="00C43B13"/>
    <w:rsid w:val="00C43B35"/>
    <w:rsid w:val="00C442F1"/>
    <w:rsid w:val="00C442F6"/>
    <w:rsid w:val="00C443EF"/>
    <w:rsid w:val="00C4555F"/>
    <w:rsid w:val="00C4582D"/>
    <w:rsid w:val="00C46352"/>
    <w:rsid w:val="00C47E25"/>
    <w:rsid w:val="00C47F3F"/>
    <w:rsid w:val="00C5058E"/>
    <w:rsid w:val="00C516E7"/>
    <w:rsid w:val="00C51FD0"/>
    <w:rsid w:val="00C52196"/>
    <w:rsid w:val="00C52ACF"/>
    <w:rsid w:val="00C530EB"/>
    <w:rsid w:val="00C53683"/>
    <w:rsid w:val="00C539AA"/>
    <w:rsid w:val="00C53A5E"/>
    <w:rsid w:val="00C566DB"/>
    <w:rsid w:val="00C5681F"/>
    <w:rsid w:val="00C56F67"/>
    <w:rsid w:val="00C579C1"/>
    <w:rsid w:val="00C603EF"/>
    <w:rsid w:val="00C61682"/>
    <w:rsid w:val="00C61BB2"/>
    <w:rsid w:val="00C61FE8"/>
    <w:rsid w:val="00C62A1A"/>
    <w:rsid w:val="00C62EBC"/>
    <w:rsid w:val="00C631EE"/>
    <w:rsid w:val="00C63B71"/>
    <w:rsid w:val="00C6424F"/>
    <w:rsid w:val="00C6465B"/>
    <w:rsid w:val="00C652B3"/>
    <w:rsid w:val="00C65FD6"/>
    <w:rsid w:val="00C70AF5"/>
    <w:rsid w:val="00C7106C"/>
    <w:rsid w:val="00C72FA3"/>
    <w:rsid w:val="00C747E1"/>
    <w:rsid w:val="00C75AE2"/>
    <w:rsid w:val="00C77756"/>
    <w:rsid w:val="00C8036D"/>
    <w:rsid w:val="00C80E0C"/>
    <w:rsid w:val="00C813B4"/>
    <w:rsid w:val="00C82328"/>
    <w:rsid w:val="00C82BE3"/>
    <w:rsid w:val="00C831BF"/>
    <w:rsid w:val="00C834A0"/>
    <w:rsid w:val="00C834E4"/>
    <w:rsid w:val="00C85661"/>
    <w:rsid w:val="00C87B80"/>
    <w:rsid w:val="00C9170D"/>
    <w:rsid w:val="00C925D6"/>
    <w:rsid w:val="00C94961"/>
    <w:rsid w:val="00C949F2"/>
    <w:rsid w:val="00C94DB2"/>
    <w:rsid w:val="00C94F04"/>
    <w:rsid w:val="00C95BDD"/>
    <w:rsid w:val="00C975B2"/>
    <w:rsid w:val="00CA15DB"/>
    <w:rsid w:val="00CA36BE"/>
    <w:rsid w:val="00CA4399"/>
    <w:rsid w:val="00CA4870"/>
    <w:rsid w:val="00CA4E10"/>
    <w:rsid w:val="00CA4FB3"/>
    <w:rsid w:val="00CA54FD"/>
    <w:rsid w:val="00CA5C0E"/>
    <w:rsid w:val="00CA5F0A"/>
    <w:rsid w:val="00CA5F7D"/>
    <w:rsid w:val="00CA6636"/>
    <w:rsid w:val="00CA75EA"/>
    <w:rsid w:val="00CB19C7"/>
    <w:rsid w:val="00CB1B40"/>
    <w:rsid w:val="00CB2FD3"/>
    <w:rsid w:val="00CB3D08"/>
    <w:rsid w:val="00CB3EB1"/>
    <w:rsid w:val="00CB49A8"/>
    <w:rsid w:val="00CB5A34"/>
    <w:rsid w:val="00CB6D35"/>
    <w:rsid w:val="00CC0CA9"/>
    <w:rsid w:val="00CC26C8"/>
    <w:rsid w:val="00CC436E"/>
    <w:rsid w:val="00CC6431"/>
    <w:rsid w:val="00CC64DD"/>
    <w:rsid w:val="00CC69D6"/>
    <w:rsid w:val="00CD0E4D"/>
    <w:rsid w:val="00CD2040"/>
    <w:rsid w:val="00CD32EB"/>
    <w:rsid w:val="00CD3F43"/>
    <w:rsid w:val="00CD49D4"/>
    <w:rsid w:val="00CD4EF3"/>
    <w:rsid w:val="00CD51D2"/>
    <w:rsid w:val="00CD6D13"/>
    <w:rsid w:val="00CD6D9A"/>
    <w:rsid w:val="00CD6EE5"/>
    <w:rsid w:val="00CD7240"/>
    <w:rsid w:val="00CD72FA"/>
    <w:rsid w:val="00CE005B"/>
    <w:rsid w:val="00CE03C7"/>
    <w:rsid w:val="00CE3E2F"/>
    <w:rsid w:val="00CE52FC"/>
    <w:rsid w:val="00CE6BBD"/>
    <w:rsid w:val="00CE7292"/>
    <w:rsid w:val="00CE741E"/>
    <w:rsid w:val="00CF0BA9"/>
    <w:rsid w:val="00CF2194"/>
    <w:rsid w:val="00CF21C2"/>
    <w:rsid w:val="00CF3460"/>
    <w:rsid w:val="00CF37E9"/>
    <w:rsid w:val="00CF4943"/>
    <w:rsid w:val="00CF639A"/>
    <w:rsid w:val="00CF6457"/>
    <w:rsid w:val="00CF65C9"/>
    <w:rsid w:val="00CF7E7F"/>
    <w:rsid w:val="00D00458"/>
    <w:rsid w:val="00D0047A"/>
    <w:rsid w:val="00D00CE4"/>
    <w:rsid w:val="00D00E7C"/>
    <w:rsid w:val="00D01517"/>
    <w:rsid w:val="00D02507"/>
    <w:rsid w:val="00D02797"/>
    <w:rsid w:val="00D02BF7"/>
    <w:rsid w:val="00D0301B"/>
    <w:rsid w:val="00D03974"/>
    <w:rsid w:val="00D04307"/>
    <w:rsid w:val="00D0481D"/>
    <w:rsid w:val="00D052D9"/>
    <w:rsid w:val="00D05E5A"/>
    <w:rsid w:val="00D06155"/>
    <w:rsid w:val="00D077FB"/>
    <w:rsid w:val="00D10C6F"/>
    <w:rsid w:val="00D1221E"/>
    <w:rsid w:val="00D1272F"/>
    <w:rsid w:val="00D14648"/>
    <w:rsid w:val="00D150B2"/>
    <w:rsid w:val="00D157EB"/>
    <w:rsid w:val="00D15857"/>
    <w:rsid w:val="00D15B30"/>
    <w:rsid w:val="00D17175"/>
    <w:rsid w:val="00D17639"/>
    <w:rsid w:val="00D206BD"/>
    <w:rsid w:val="00D207F5"/>
    <w:rsid w:val="00D20FCF"/>
    <w:rsid w:val="00D226C0"/>
    <w:rsid w:val="00D23D36"/>
    <w:rsid w:val="00D242E5"/>
    <w:rsid w:val="00D244F3"/>
    <w:rsid w:val="00D247C3"/>
    <w:rsid w:val="00D255B4"/>
    <w:rsid w:val="00D2652D"/>
    <w:rsid w:val="00D2670C"/>
    <w:rsid w:val="00D26CB1"/>
    <w:rsid w:val="00D3043B"/>
    <w:rsid w:val="00D314A0"/>
    <w:rsid w:val="00D327C8"/>
    <w:rsid w:val="00D3457C"/>
    <w:rsid w:val="00D34752"/>
    <w:rsid w:val="00D34AA0"/>
    <w:rsid w:val="00D35949"/>
    <w:rsid w:val="00D36401"/>
    <w:rsid w:val="00D40E59"/>
    <w:rsid w:val="00D40F5D"/>
    <w:rsid w:val="00D4288D"/>
    <w:rsid w:val="00D440D9"/>
    <w:rsid w:val="00D451D6"/>
    <w:rsid w:val="00D454AE"/>
    <w:rsid w:val="00D454BA"/>
    <w:rsid w:val="00D45BBD"/>
    <w:rsid w:val="00D47727"/>
    <w:rsid w:val="00D51694"/>
    <w:rsid w:val="00D51F60"/>
    <w:rsid w:val="00D52664"/>
    <w:rsid w:val="00D52A90"/>
    <w:rsid w:val="00D54935"/>
    <w:rsid w:val="00D54D4D"/>
    <w:rsid w:val="00D5695F"/>
    <w:rsid w:val="00D57711"/>
    <w:rsid w:val="00D60057"/>
    <w:rsid w:val="00D60F51"/>
    <w:rsid w:val="00D62AB8"/>
    <w:rsid w:val="00D62C38"/>
    <w:rsid w:val="00D62F59"/>
    <w:rsid w:val="00D64079"/>
    <w:rsid w:val="00D6428E"/>
    <w:rsid w:val="00D6463C"/>
    <w:rsid w:val="00D64904"/>
    <w:rsid w:val="00D64B4A"/>
    <w:rsid w:val="00D64E38"/>
    <w:rsid w:val="00D6636E"/>
    <w:rsid w:val="00D715E7"/>
    <w:rsid w:val="00D732AD"/>
    <w:rsid w:val="00D73CE3"/>
    <w:rsid w:val="00D7409F"/>
    <w:rsid w:val="00D74409"/>
    <w:rsid w:val="00D74841"/>
    <w:rsid w:val="00D77EE7"/>
    <w:rsid w:val="00D80464"/>
    <w:rsid w:val="00D81502"/>
    <w:rsid w:val="00D81D84"/>
    <w:rsid w:val="00D82103"/>
    <w:rsid w:val="00D82A25"/>
    <w:rsid w:val="00D839E3"/>
    <w:rsid w:val="00D846F4"/>
    <w:rsid w:val="00D84EEC"/>
    <w:rsid w:val="00D85C46"/>
    <w:rsid w:val="00D872C7"/>
    <w:rsid w:val="00D879A2"/>
    <w:rsid w:val="00D879BA"/>
    <w:rsid w:val="00D87C8B"/>
    <w:rsid w:val="00D933B9"/>
    <w:rsid w:val="00D94782"/>
    <w:rsid w:val="00D95EFE"/>
    <w:rsid w:val="00D96C3A"/>
    <w:rsid w:val="00D9747E"/>
    <w:rsid w:val="00D974ED"/>
    <w:rsid w:val="00D97773"/>
    <w:rsid w:val="00DA0151"/>
    <w:rsid w:val="00DA1D9A"/>
    <w:rsid w:val="00DA2690"/>
    <w:rsid w:val="00DA31AB"/>
    <w:rsid w:val="00DA4485"/>
    <w:rsid w:val="00DA4885"/>
    <w:rsid w:val="00DA4C88"/>
    <w:rsid w:val="00DA5747"/>
    <w:rsid w:val="00DA6C51"/>
    <w:rsid w:val="00DA71F5"/>
    <w:rsid w:val="00DA74F5"/>
    <w:rsid w:val="00DA74F7"/>
    <w:rsid w:val="00DA7500"/>
    <w:rsid w:val="00DA7A41"/>
    <w:rsid w:val="00DA7D4D"/>
    <w:rsid w:val="00DB0611"/>
    <w:rsid w:val="00DB1391"/>
    <w:rsid w:val="00DB1B85"/>
    <w:rsid w:val="00DB3288"/>
    <w:rsid w:val="00DB3723"/>
    <w:rsid w:val="00DB3955"/>
    <w:rsid w:val="00DB4DDE"/>
    <w:rsid w:val="00DB5E12"/>
    <w:rsid w:val="00DB6AAB"/>
    <w:rsid w:val="00DB7189"/>
    <w:rsid w:val="00DB7734"/>
    <w:rsid w:val="00DB7A31"/>
    <w:rsid w:val="00DC08DE"/>
    <w:rsid w:val="00DC1742"/>
    <w:rsid w:val="00DC2251"/>
    <w:rsid w:val="00DC349E"/>
    <w:rsid w:val="00DC3B08"/>
    <w:rsid w:val="00DC3BAD"/>
    <w:rsid w:val="00DC43C9"/>
    <w:rsid w:val="00DC50AA"/>
    <w:rsid w:val="00DC6021"/>
    <w:rsid w:val="00DC6EBA"/>
    <w:rsid w:val="00DC79CF"/>
    <w:rsid w:val="00DD35DA"/>
    <w:rsid w:val="00DD3FEB"/>
    <w:rsid w:val="00DD426F"/>
    <w:rsid w:val="00DD462A"/>
    <w:rsid w:val="00DD5E8D"/>
    <w:rsid w:val="00DD65A1"/>
    <w:rsid w:val="00DE1454"/>
    <w:rsid w:val="00DE28BB"/>
    <w:rsid w:val="00DE2A57"/>
    <w:rsid w:val="00DE36CD"/>
    <w:rsid w:val="00DE4CAB"/>
    <w:rsid w:val="00DE5A7D"/>
    <w:rsid w:val="00DE5C54"/>
    <w:rsid w:val="00DE7AD0"/>
    <w:rsid w:val="00DF168D"/>
    <w:rsid w:val="00DF1C6F"/>
    <w:rsid w:val="00DF2759"/>
    <w:rsid w:val="00DF27DD"/>
    <w:rsid w:val="00DF29EC"/>
    <w:rsid w:val="00DF410E"/>
    <w:rsid w:val="00DF51E3"/>
    <w:rsid w:val="00DF5230"/>
    <w:rsid w:val="00DF52E4"/>
    <w:rsid w:val="00DF698E"/>
    <w:rsid w:val="00DF7473"/>
    <w:rsid w:val="00DF7632"/>
    <w:rsid w:val="00E000C5"/>
    <w:rsid w:val="00E0017E"/>
    <w:rsid w:val="00E00228"/>
    <w:rsid w:val="00E009F8"/>
    <w:rsid w:val="00E00C79"/>
    <w:rsid w:val="00E02DF7"/>
    <w:rsid w:val="00E02E9A"/>
    <w:rsid w:val="00E02EE4"/>
    <w:rsid w:val="00E049FC"/>
    <w:rsid w:val="00E04C67"/>
    <w:rsid w:val="00E05C72"/>
    <w:rsid w:val="00E07E99"/>
    <w:rsid w:val="00E116E8"/>
    <w:rsid w:val="00E118B6"/>
    <w:rsid w:val="00E11A35"/>
    <w:rsid w:val="00E12784"/>
    <w:rsid w:val="00E160CB"/>
    <w:rsid w:val="00E16A7E"/>
    <w:rsid w:val="00E17883"/>
    <w:rsid w:val="00E17911"/>
    <w:rsid w:val="00E201FE"/>
    <w:rsid w:val="00E20D99"/>
    <w:rsid w:val="00E24532"/>
    <w:rsid w:val="00E2544E"/>
    <w:rsid w:val="00E25556"/>
    <w:rsid w:val="00E25D45"/>
    <w:rsid w:val="00E303E7"/>
    <w:rsid w:val="00E30505"/>
    <w:rsid w:val="00E30AD6"/>
    <w:rsid w:val="00E30CD0"/>
    <w:rsid w:val="00E31462"/>
    <w:rsid w:val="00E32469"/>
    <w:rsid w:val="00E32AB4"/>
    <w:rsid w:val="00E32DC1"/>
    <w:rsid w:val="00E339C2"/>
    <w:rsid w:val="00E3496A"/>
    <w:rsid w:val="00E35BD9"/>
    <w:rsid w:val="00E35D00"/>
    <w:rsid w:val="00E360E3"/>
    <w:rsid w:val="00E36C58"/>
    <w:rsid w:val="00E371CD"/>
    <w:rsid w:val="00E37889"/>
    <w:rsid w:val="00E37EC9"/>
    <w:rsid w:val="00E4022E"/>
    <w:rsid w:val="00E402C5"/>
    <w:rsid w:val="00E40898"/>
    <w:rsid w:val="00E41E5F"/>
    <w:rsid w:val="00E42006"/>
    <w:rsid w:val="00E427C1"/>
    <w:rsid w:val="00E4355F"/>
    <w:rsid w:val="00E43C29"/>
    <w:rsid w:val="00E446FF"/>
    <w:rsid w:val="00E44B24"/>
    <w:rsid w:val="00E45538"/>
    <w:rsid w:val="00E45865"/>
    <w:rsid w:val="00E46530"/>
    <w:rsid w:val="00E46BA6"/>
    <w:rsid w:val="00E5061E"/>
    <w:rsid w:val="00E50E70"/>
    <w:rsid w:val="00E51020"/>
    <w:rsid w:val="00E514CD"/>
    <w:rsid w:val="00E5187F"/>
    <w:rsid w:val="00E547F4"/>
    <w:rsid w:val="00E55D06"/>
    <w:rsid w:val="00E56CA2"/>
    <w:rsid w:val="00E57453"/>
    <w:rsid w:val="00E606EA"/>
    <w:rsid w:val="00E6155A"/>
    <w:rsid w:val="00E61DDF"/>
    <w:rsid w:val="00E628CC"/>
    <w:rsid w:val="00E629B4"/>
    <w:rsid w:val="00E62A3F"/>
    <w:rsid w:val="00E62C27"/>
    <w:rsid w:val="00E630DD"/>
    <w:rsid w:val="00E64A00"/>
    <w:rsid w:val="00E65C2A"/>
    <w:rsid w:val="00E66B69"/>
    <w:rsid w:val="00E717BC"/>
    <w:rsid w:val="00E719A7"/>
    <w:rsid w:val="00E719D3"/>
    <w:rsid w:val="00E72BF0"/>
    <w:rsid w:val="00E72DEB"/>
    <w:rsid w:val="00E73152"/>
    <w:rsid w:val="00E75DFF"/>
    <w:rsid w:val="00E77677"/>
    <w:rsid w:val="00E77741"/>
    <w:rsid w:val="00E7776E"/>
    <w:rsid w:val="00E804ED"/>
    <w:rsid w:val="00E80741"/>
    <w:rsid w:val="00E807E1"/>
    <w:rsid w:val="00E81087"/>
    <w:rsid w:val="00E81156"/>
    <w:rsid w:val="00E83B9A"/>
    <w:rsid w:val="00E83BA8"/>
    <w:rsid w:val="00E84554"/>
    <w:rsid w:val="00E850E1"/>
    <w:rsid w:val="00E853C6"/>
    <w:rsid w:val="00E85852"/>
    <w:rsid w:val="00E87511"/>
    <w:rsid w:val="00E90645"/>
    <w:rsid w:val="00E90EFF"/>
    <w:rsid w:val="00E910F0"/>
    <w:rsid w:val="00E913B9"/>
    <w:rsid w:val="00E9291B"/>
    <w:rsid w:val="00E92B86"/>
    <w:rsid w:val="00E92D26"/>
    <w:rsid w:val="00E93B04"/>
    <w:rsid w:val="00E96A13"/>
    <w:rsid w:val="00E96A86"/>
    <w:rsid w:val="00E97234"/>
    <w:rsid w:val="00E97C4D"/>
    <w:rsid w:val="00EA1560"/>
    <w:rsid w:val="00EA18D2"/>
    <w:rsid w:val="00EA1AC4"/>
    <w:rsid w:val="00EA2C5A"/>
    <w:rsid w:val="00EA3517"/>
    <w:rsid w:val="00EA3F6B"/>
    <w:rsid w:val="00EA4A5B"/>
    <w:rsid w:val="00EA65EA"/>
    <w:rsid w:val="00EA717B"/>
    <w:rsid w:val="00EB0F32"/>
    <w:rsid w:val="00EB1B9E"/>
    <w:rsid w:val="00EB23FD"/>
    <w:rsid w:val="00EB2450"/>
    <w:rsid w:val="00EB29F0"/>
    <w:rsid w:val="00EB42C8"/>
    <w:rsid w:val="00EB6639"/>
    <w:rsid w:val="00EB6E82"/>
    <w:rsid w:val="00EB71F9"/>
    <w:rsid w:val="00EB7599"/>
    <w:rsid w:val="00EB7622"/>
    <w:rsid w:val="00EC11B6"/>
    <w:rsid w:val="00EC3E28"/>
    <w:rsid w:val="00EC7CC0"/>
    <w:rsid w:val="00EC7D16"/>
    <w:rsid w:val="00ED06A4"/>
    <w:rsid w:val="00ED0846"/>
    <w:rsid w:val="00ED16BD"/>
    <w:rsid w:val="00ED2C7E"/>
    <w:rsid w:val="00ED3429"/>
    <w:rsid w:val="00ED3B72"/>
    <w:rsid w:val="00ED586D"/>
    <w:rsid w:val="00ED5AB6"/>
    <w:rsid w:val="00ED5F11"/>
    <w:rsid w:val="00ED6710"/>
    <w:rsid w:val="00ED69CB"/>
    <w:rsid w:val="00ED6E40"/>
    <w:rsid w:val="00ED7D0B"/>
    <w:rsid w:val="00EE0351"/>
    <w:rsid w:val="00EE04C0"/>
    <w:rsid w:val="00EE10E9"/>
    <w:rsid w:val="00EE359E"/>
    <w:rsid w:val="00EE518F"/>
    <w:rsid w:val="00EE53BA"/>
    <w:rsid w:val="00EE58ED"/>
    <w:rsid w:val="00EE5B94"/>
    <w:rsid w:val="00EE5EE7"/>
    <w:rsid w:val="00EE5FD4"/>
    <w:rsid w:val="00EE699A"/>
    <w:rsid w:val="00EE6E22"/>
    <w:rsid w:val="00EE6F8D"/>
    <w:rsid w:val="00EE71AD"/>
    <w:rsid w:val="00EE7C36"/>
    <w:rsid w:val="00EF004C"/>
    <w:rsid w:val="00EF08BC"/>
    <w:rsid w:val="00EF13C6"/>
    <w:rsid w:val="00EF16A3"/>
    <w:rsid w:val="00EF1A15"/>
    <w:rsid w:val="00EF22D0"/>
    <w:rsid w:val="00EF3737"/>
    <w:rsid w:val="00EF38D7"/>
    <w:rsid w:val="00EF5498"/>
    <w:rsid w:val="00EF6416"/>
    <w:rsid w:val="00EF6CA5"/>
    <w:rsid w:val="00EF6F2B"/>
    <w:rsid w:val="00F00B61"/>
    <w:rsid w:val="00F00EBE"/>
    <w:rsid w:val="00F01763"/>
    <w:rsid w:val="00F01956"/>
    <w:rsid w:val="00F0438C"/>
    <w:rsid w:val="00F044A2"/>
    <w:rsid w:val="00F044EF"/>
    <w:rsid w:val="00F04630"/>
    <w:rsid w:val="00F04733"/>
    <w:rsid w:val="00F051D4"/>
    <w:rsid w:val="00F054A3"/>
    <w:rsid w:val="00F05FA5"/>
    <w:rsid w:val="00F0680F"/>
    <w:rsid w:val="00F07D5F"/>
    <w:rsid w:val="00F10148"/>
    <w:rsid w:val="00F126AA"/>
    <w:rsid w:val="00F12733"/>
    <w:rsid w:val="00F12EB7"/>
    <w:rsid w:val="00F13182"/>
    <w:rsid w:val="00F135C0"/>
    <w:rsid w:val="00F1522A"/>
    <w:rsid w:val="00F15287"/>
    <w:rsid w:val="00F16764"/>
    <w:rsid w:val="00F178AF"/>
    <w:rsid w:val="00F201DA"/>
    <w:rsid w:val="00F20AB9"/>
    <w:rsid w:val="00F20B8F"/>
    <w:rsid w:val="00F22538"/>
    <w:rsid w:val="00F2266B"/>
    <w:rsid w:val="00F22B6F"/>
    <w:rsid w:val="00F22E10"/>
    <w:rsid w:val="00F22E5C"/>
    <w:rsid w:val="00F2309E"/>
    <w:rsid w:val="00F23D7A"/>
    <w:rsid w:val="00F2510A"/>
    <w:rsid w:val="00F25D0B"/>
    <w:rsid w:val="00F264B5"/>
    <w:rsid w:val="00F26FFF"/>
    <w:rsid w:val="00F30058"/>
    <w:rsid w:val="00F308AA"/>
    <w:rsid w:val="00F30EED"/>
    <w:rsid w:val="00F31A50"/>
    <w:rsid w:val="00F32374"/>
    <w:rsid w:val="00F3279B"/>
    <w:rsid w:val="00F328F7"/>
    <w:rsid w:val="00F36B86"/>
    <w:rsid w:val="00F375E9"/>
    <w:rsid w:val="00F376A8"/>
    <w:rsid w:val="00F37CCE"/>
    <w:rsid w:val="00F40616"/>
    <w:rsid w:val="00F41C8E"/>
    <w:rsid w:val="00F43F81"/>
    <w:rsid w:val="00F447DD"/>
    <w:rsid w:val="00F44929"/>
    <w:rsid w:val="00F45D7C"/>
    <w:rsid w:val="00F45D83"/>
    <w:rsid w:val="00F45F60"/>
    <w:rsid w:val="00F46804"/>
    <w:rsid w:val="00F46A13"/>
    <w:rsid w:val="00F46B80"/>
    <w:rsid w:val="00F509AF"/>
    <w:rsid w:val="00F51466"/>
    <w:rsid w:val="00F51FC7"/>
    <w:rsid w:val="00F528D5"/>
    <w:rsid w:val="00F5377E"/>
    <w:rsid w:val="00F53C70"/>
    <w:rsid w:val="00F5497A"/>
    <w:rsid w:val="00F557BA"/>
    <w:rsid w:val="00F60261"/>
    <w:rsid w:val="00F60394"/>
    <w:rsid w:val="00F606FB"/>
    <w:rsid w:val="00F609B1"/>
    <w:rsid w:val="00F60BC9"/>
    <w:rsid w:val="00F610CB"/>
    <w:rsid w:val="00F61AB5"/>
    <w:rsid w:val="00F6237C"/>
    <w:rsid w:val="00F62703"/>
    <w:rsid w:val="00F6272F"/>
    <w:rsid w:val="00F633A0"/>
    <w:rsid w:val="00F6365B"/>
    <w:rsid w:val="00F64791"/>
    <w:rsid w:val="00F64C26"/>
    <w:rsid w:val="00F64F55"/>
    <w:rsid w:val="00F656B3"/>
    <w:rsid w:val="00F65795"/>
    <w:rsid w:val="00F65F3A"/>
    <w:rsid w:val="00F66B65"/>
    <w:rsid w:val="00F707EE"/>
    <w:rsid w:val="00F70B13"/>
    <w:rsid w:val="00F71C18"/>
    <w:rsid w:val="00F7246F"/>
    <w:rsid w:val="00F724F2"/>
    <w:rsid w:val="00F727FE"/>
    <w:rsid w:val="00F72F8B"/>
    <w:rsid w:val="00F730B0"/>
    <w:rsid w:val="00F7335C"/>
    <w:rsid w:val="00F73851"/>
    <w:rsid w:val="00F7396E"/>
    <w:rsid w:val="00F74BD0"/>
    <w:rsid w:val="00F75405"/>
    <w:rsid w:val="00F76B47"/>
    <w:rsid w:val="00F770C5"/>
    <w:rsid w:val="00F7711F"/>
    <w:rsid w:val="00F771CE"/>
    <w:rsid w:val="00F82BE9"/>
    <w:rsid w:val="00F83F74"/>
    <w:rsid w:val="00F8472B"/>
    <w:rsid w:val="00F85018"/>
    <w:rsid w:val="00F8549A"/>
    <w:rsid w:val="00F863B8"/>
    <w:rsid w:val="00F873DD"/>
    <w:rsid w:val="00F87EEB"/>
    <w:rsid w:val="00F91705"/>
    <w:rsid w:val="00F91E13"/>
    <w:rsid w:val="00F91EE6"/>
    <w:rsid w:val="00F91F5C"/>
    <w:rsid w:val="00F9229E"/>
    <w:rsid w:val="00F92EA2"/>
    <w:rsid w:val="00F93213"/>
    <w:rsid w:val="00F94091"/>
    <w:rsid w:val="00F940D7"/>
    <w:rsid w:val="00F94138"/>
    <w:rsid w:val="00F94AAD"/>
    <w:rsid w:val="00F94CB3"/>
    <w:rsid w:val="00F95B26"/>
    <w:rsid w:val="00F96080"/>
    <w:rsid w:val="00F96C37"/>
    <w:rsid w:val="00FA2482"/>
    <w:rsid w:val="00FA2803"/>
    <w:rsid w:val="00FA2F08"/>
    <w:rsid w:val="00FA39A4"/>
    <w:rsid w:val="00FA3B58"/>
    <w:rsid w:val="00FA602C"/>
    <w:rsid w:val="00FA613E"/>
    <w:rsid w:val="00FA766F"/>
    <w:rsid w:val="00FA7992"/>
    <w:rsid w:val="00FA7AC1"/>
    <w:rsid w:val="00FA7F60"/>
    <w:rsid w:val="00FB16D9"/>
    <w:rsid w:val="00FB1EF1"/>
    <w:rsid w:val="00FB1F2A"/>
    <w:rsid w:val="00FB2ADA"/>
    <w:rsid w:val="00FB50E1"/>
    <w:rsid w:val="00FB5136"/>
    <w:rsid w:val="00FB5237"/>
    <w:rsid w:val="00FB5886"/>
    <w:rsid w:val="00FB659D"/>
    <w:rsid w:val="00FB6A40"/>
    <w:rsid w:val="00FB7DEC"/>
    <w:rsid w:val="00FC1041"/>
    <w:rsid w:val="00FC156E"/>
    <w:rsid w:val="00FC324E"/>
    <w:rsid w:val="00FC32B6"/>
    <w:rsid w:val="00FC6099"/>
    <w:rsid w:val="00FC67E3"/>
    <w:rsid w:val="00FC7549"/>
    <w:rsid w:val="00FC759E"/>
    <w:rsid w:val="00FC7758"/>
    <w:rsid w:val="00FC7D75"/>
    <w:rsid w:val="00FD039D"/>
    <w:rsid w:val="00FD061D"/>
    <w:rsid w:val="00FD0857"/>
    <w:rsid w:val="00FD1E02"/>
    <w:rsid w:val="00FD209E"/>
    <w:rsid w:val="00FD2C4F"/>
    <w:rsid w:val="00FD2D39"/>
    <w:rsid w:val="00FD4547"/>
    <w:rsid w:val="00FD64A4"/>
    <w:rsid w:val="00FD6B4D"/>
    <w:rsid w:val="00FD6CB3"/>
    <w:rsid w:val="00FE0ECF"/>
    <w:rsid w:val="00FE29D2"/>
    <w:rsid w:val="00FE2A12"/>
    <w:rsid w:val="00FE5006"/>
    <w:rsid w:val="00FE5938"/>
    <w:rsid w:val="00FE5FC9"/>
    <w:rsid w:val="00FE6A2D"/>
    <w:rsid w:val="00FE7B41"/>
    <w:rsid w:val="00FF0276"/>
    <w:rsid w:val="00FF1586"/>
    <w:rsid w:val="00FF1E96"/>
    <w:rsid w:val="00FF2B79"/>
    <w:rsid w:val="00FF33FF"/>
    <w:rsid w:val="00FF40E7"/>
    <w:rsid w:val="00FF4A7C"/>
    <w:rsid w:val="00FF716A"/>
    <w:rsid w:val="00FF71E9"/>
    <w:rsid w:val="00FF7831"/>
    <w:rsid w:val="019A4E5E"/>
    <w:rsid w:val="01E130D1"/>
    <w:rsid w:val="032A599E"/>
    <w:rsid w:val="03B52DD2"/>
    <w:rsid w:val="0E103E6F"/>
    <w:rsid w:val="0E9E2EBB"/>
    <w:rsid w:val="11C1604F"/>
    <w:rsid w:val="11E8642F"/>
    <w:rsid w:val="136A7B8D"/>
    <w:rsid w:val="16D91621"/>
    <w:rsid w:val="171B3B6E"/>
    <w:rsid w:val="194F3BCA"/>
    <w:rsid w:val="1B103E9F"/>
    <w:rsid w:val="1B420C95"/>
    <w:rsid w:val="1BE70897"/>
    <w:rsid w:val="1D1F02A9"/>
    <w:rsid w:val="2239617F"/>
    <w:rsid w:val="2428119D"/>
    <w:rsid w:val="2631040F"/>
    <w:rsid w:val="26524B1E"/>
    <w:rsid w:val="26690E2E"/>
    <w:rsid w:val="27137EC2"/>
    <w:rsid w:val="2A667FEB"/>
    <w:rsid w:val="2DF6449B"/>
    <w:rsid w:val="2EFC1479"/>
    <w:rsid w:val="307B17D9"/>
    <w:rsid w:val="30A868E2"/>
    <w:rsid w:val="32914216"/>
    <w:rsid w:val="32DE5F6D"/>
    <w:rsid w:val="347872A3"/>
    <w:rsid w:val="37224AF2"/>
    <w:rsid w:val="39DC19B0"/>
    <w:rsid w:val="3C4A21E4"/>
    <w:rsid w:val="3FAE29F0"/>
    <w:rsid w:val="407F47EA"/>
    <w:rsid w:val="40B81B34"/>
    <w:rsid w:val="40DD3546"/>
    <w:rsid w:val="425A4978"/>
    <w:rsid w:val="42A1587F"/>
    <w:rsid w:val="42D73194"/>
    <w:rsid w:val="42F37953"/>
    <w:rsid w:val="455C687F"/>
    <w:rsid w:val="458F3EB4"/>
    <w:rsid w:val="480B3F9B"/>
    <w:rsid w:val="4AAE0310"/>
    <w:rsid w:val="4FF06202"/>
    <w:rsid w:val="524748C6"/>
    <w:rsid w:val="57C13D27"/>
    <w:rsid w:val="587D684B"/>
    <w:rsid w:val="5AE764D1"/>
    <w:rsid w:val="5C0A7747"/>
    <w:rsid w:val="5C5729EF"/>
    <w:rsid w:val="5D7455ED"/>
    <w:rsid w:val="5E097D9A"/>
    <w:rsid w:val="5EE10C9A"/>
    <w:rsid w:val="60D65F3E"/>
    <w:rsid w:val="62BF13DE"/>
    <w:rsid w:val="640E7D27"/>
    <w:rsid w:val="68FD2063"/>
    <w:rsid w:val="69A3396D"/>
    <w:rsid w:val="6B1A1F1B"/>
    <w:rsid w:val="6CF011C4"/>
    <w:rsid w:val="6D1F02A7"/>
    <w:rsid w:val="6E196F2C"/>
    <w:rsid w:val="6E3F1CA9"/>
    <w:rsid w:val="6EF43028"/>
    <w:rsid w:val="6F54755B"/>
    <w:rsid w:val="70406FF8"/>
    <w:rsid w:val="705A52A6"/>
    <w:rsid w:val="74403773"/>
    <w:rsid w:val="75B56EE8"/>
    <w:rsid w:val="75CE28E9"/>
    <w:rsid w:val="76C363B2"/>
    <w:rsid w:val="76ED2F39"/>
    <w:rsid w:val="79180936"/>
    <w:rsid w:val="7A66382A"/>
    <w:rsid w:val="7C867CED"/>
    <w:rsid w:val="7EC34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line="576" w:lineRule="auto"/>
      <w:outlineLvl w:val="0"/>
    </w:pPr>
    <w:rPr>
      <w:b/>
      <w:kern w:val="44"/>
      <w:sz w:val="44"/>
    </w:rPr>
  </w:style>
  <w:style w:type="paragraph" w:styleId="3">
    <w:name w:val="heading 2"/>
    <w:basedOn w:val="1"/>
    <w:next w:val="1"/>
    <w:link w:val="37"/>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38"/>
    <w:unhideWhenUsed/>
    <w:qFormat/>
    <w:uiPriority w:val="9"/>
    <w:pPr>
      <w:keepNext/>
      <w:keepLines/>
      <w:spacing w:line="413" w:lineRule="auto"/>
      <w:outlineLvl w:val="2"/>
    </w:pPr>
    <w:rPr>
      <w:b/>
      <w:sz w:val="32"/>
    </w:rPr>
  </w:style>
  <w:style w:type="paragraph" w:styleId="5">
    <w:name w:val="heading 4"/>
    <w:basedOn w:val="1"/>
    <w:next w:val="1"/>
    <w:link w:val="39"/>
    <w:unhideWhenUsed/>
    <w:qFormat/>
    <w:uiPriority w:val="9"/>
    <w:pPr>
      <w:keepNext/>
      <w:keepLines/>
      <w:spacing w:line="372" w:lineRule="auto"/>
      <w:outlineLvl w:val="3"/>
    </w:pPr>
    <w:rPr>
      <w:rFonts w:ascii="Arial" w:hAnsi="Arial" w:eastAsia="黑体"/>
      <w:b/>
      <w:sz w:val="28"/>
    </w:rPr>
  </w:style>
  <w:style w:type="paragraph" w:styleId="6">
    <w:name w:val="heading 5"/>
    <w:basedOn w:val="1"/>
    <w:next w:val="1"/>
    <w:link w:val="86"/>
    <w:semiHidden/>
    <w:unhideWhenUsed/>
    <w:qFormat/>
    <w:uiPriority w:val="9"/>
    <w:pPr>
      <w:keepNext/>
      <w:keepLines/>
      <w:spacing w:line="372" w:lineRule="auto"/>
      <w:outlineLvl w:val="4"/>
    </w:pPr>
    <w:rPr>
      <w:b/>
      <w:sz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caption"/>
    <w:basedOn w:val="1"/>
    <w:next w:val="1"/>
    <w:qFormat/>
    <w:uiPriority w:val="35"/>
    <w:rPr>
      <w:rFonts w:ascii="等线 Light" w:hAnsi="等线 Light" w:eastAsia="黑体" w:cs="Times New Roman"/>
      <w:sz w:val="20"/>
      <w:szCs w:val="20"/>
    </w:rPr>
  </w:style>
  <w:style w:type="paragraph" w:styleId="9">
    <w:name w:val="Document Map"/>
    <w:basedOn w:val="1"/>
    <w:link w:val="92"/>
    <w:semiHidden/>
    <w:unhideWhenUsed/>
    <w:qFormat/>
    <w:uiPriority w:val="99"/>
    <w:rPr>
      <w:rFonts w:ascii="宋体" w:eastAsia="宋体"/>
      <w:sz w:val="18"/>
      <w:szCs w:val="18"/>
    </w:rPr>
  </w:style>
  <w:style w:type="paragraph" w:styleId="10">
    <w:name w:val="annotation text"/>
    <w:basedOn w:val="1"/>
    <w:link w:val="95"/>
    <w:qFormat/>
    <w:uiPriority w:val="0"/>
    <w:pPr>
      <w:jc w:val="left"/>
    </w:pPr>
    <w:rPr>
      <w:rFonts w:ascii="Times New Roman" w:hAnsi="Times New Roman" w:eastAsia="宋体" w:cs="Times New Roman"/>
    </w:rPr>
  </w:style>
  <w:style w:type="paragraph" w:styleId="11">
    <w:name w:val="Body Text"/>
    <w:basedOn w:val="1"/>
    <w:link w:val="93"/>
    <w:semiHidden/>
    <w:unhideWhenUsed/>
    <w:qFormat/>
    <w:uiPriority w:val="99"/>
    <w:pPr>
      <w:spacing w:after="120"/>
    </w:pPr>
    <w:rPr>
      <w:rFonts w:ascii="Calibri" w:hAnsi="Calibri" w:eastAsia="宋体" w:cs="Times New Roman"/>
    </w:rPr>
  </w:style>
  <w:style w:type="paragraph" w:styleId="12">
    <w:name w:val="toc 5"/>
    <w:basedOn w:val="1"/>
    <w:next w:val="1"/>
    <w:link w:val="40"/>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41"/>
    <w:semiHidden/>
    <w:unhideWhenUsed/>
    <w:qFormat/>
    <w:uiPriority w:val="99"/>
    <w:rPr>
      <w:sz w:val="18"/>
      <w:szCs w:val="18"/>
    </w:rPr>
  </w:style>
  <w:style w:type="paragraph" w:styleId="16">
    <w:name w:val="footer"/>
    <w:basedOn w:val="1"/>
    <w:link w:val="42"/>
    <w:unhideWhenUsed/>
    <w:qFormat/>
    <w:uiPriority w:val="99"/>
    <w:pPr>
      <w:tabs>
        <w:tab w:val="center" w:pos="4153"/>
        <w:tab w:val="right" w:pos="8306"/>
      </w:tabs>
      <w:snapToGrid w:val="0"/>
      <w:jc w:val="left"/>
    </w:pPr>
    <w:rPr>
      <w:sz w:val="18"/>
      <w:szCs w:val="18"/>
    </w:rPr>
  </w:style>
  <w:style w:type="paragraph" w:styleId="17">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footnote text"/>
    <w:basedOn w:val="1"/>
    <w:link w:val="44"/>
    <w:semiHidden/>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10"/>
    <w:next w:val="10"/>
    <w:link w:val="103"/>
    <w:semiHidden/>
    <w:unhideWhenUsed/>
    <w:qFormat/>
    <w:uiPriority w:val="99"/>
    <w:rPr>
      <w:rFonts w:asciiTheme="minorHAnsi" w:hAnsiTheme="minorHAnsi" w:eastAsiaTheme="minorEastAsia" w:cstheme="minorBidi"/>
      <w:b/>
      <w:bCs/>
    </w:rPr>
  </w:style>
  <w:style w:type="paragraph" w:styleId="26">
    <w:name w:val="Body Text First Indent"/>
    <w:basedOn w:val="11"/>
    <w:link w:val="94"/>
    <w:qFormat/>
    <w:uiPriority w:val="0"/>
    <w:pPr>
      <w:ind w:firstLine="560"/>
    </w:pPr>
    <w:rPr>
      <w:rFonts w:ascii="Times New Roman" w:hAnsi="Times New Roman"/>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rPr>
  </w:style>
  <w:style w:type="character" w:styleId="31">
    <w:name w:val="FollowedHyperlink"/>
    <w:basedOn w:val="29"/>
    <w:semiHidden/>
    <w:unhideWhenUsed/>
    <w:qFormat/>
    <w:uiPriority w:val="99"/>
    <w:rPr>
      <w:color w:val="800080" w:themeColor="followedHyperlink"/>
      <w:u w:val="single"/>
      <w14:textFill>
        <w14:solidFill>
          <w14:schemeClr w14:val="folHlink"/>
        </w14:solidFill>
      </w14:textFill>
    </w:rPr>
  </w:style>
  <w:style w:type="character" w:styleId="32">
    <w:name w:val="Emphasis"/>
    <w:basedOn w:val="29"/>
    <w:qFormat/>
    <w:uiPriority w:val="20"/>
    <w:rPr>
      <w:i/>
      <w:iCs/>
    </w:rPr>
  </w:style>
  <w:style w:type="character" w:styleId="33">
    <w:name w:val="Hyperlink"/>
    <w:basedOn w:val="29"/>
    <w:unhideWhenUsed/>
    <w:qFormat/>
    <w:uiPriority w:val="99"/>
    <w:rPr>
      <w:color w:val="0000FF" w:themeColor="hyperlink"/>
      <w:u w:val="single"/>
      <w14:textFill>
        <w14:solidFill>
          <w14:schemeClr w14:val="hlink"/>
        </w14:solidFill>
      </w14:textFill>
    </w:rPr>
  </w:style>
  <w:style w:type="character" w:styleId="34">
    <w:name w:val="annotation reference"/>
    <w:qFormat/>
    <w:uiPriority w:val="0"/>
    <w:rPr>
      <w:sz w:val="21"/>
      <w:szCs w:val="21"/>
    </w:rPr>
  </w:style>
  <w:style w:type="character" w:styleId="35">
    <w:name w:val="footnote reference"/>
    <w:basedOn w:val="29"/>
    <w:semiHidden/>
    <w:unhideWhenUsed/>
    <w:qFormat/>
    <w:uiPriority w:val="99"/>
    <w:rPr>
      <w:vertAlign w:val="superscript"/>
    </w:rPr>
  </w:style>
  <w:style w:type="character" w:customStyle="1" w:styleId="36">
    <w:name w:val="标题 1 字符"/>
    <w:link w:val="2"/>
    <w:qFormat/>
    <w:uiPriority w:val="9"/>
    <w:rPr>
      <w:b/>
      <w:kern w:val="44"/>
      <w:sz w:val="44"/>
    </w:rPr>
  </w:style>
  <w:style w:type="character" w:customStyle="1" w:styleId="37">
    <w:name w:val="标题 2 字符"/>
    <w:link w:val="3"/>
    <w:qFormat/>
    <w:uiPriority w:val="9"/>
    <w:rPr>
      <w:rFonts w:ascii="Arial" w:hAnsi="Arial" w:eastAsia="黑体"/>
      <w:b/>
      <w:sz w:val="32"/>
    </w:rPr>
  </w:style>
  <w:style w:type="character" w:customStyle="1" w:styleId="38">
    <w:name w:val="标题 3 字符"/>
    <w:link w:val="4"/>
    <w:qFormat/>
    <w:uiPriority w:val="0"/>
    <w:rPr>
      <w:b/>
      <w:sz w:val="32"/>
    </w:rPr>
  </w:style>
  <w:style w:type="character" w:customStyle="1" w:styleId="39">
    <w:name w:val="标题 4 字符"/>
    <w:link w:val="5"/>
    <w:qFormat/>
    <w:uiPriority w:val="9"/>
    <w:rPr>
      <w:rFonts w:ascii="Arial" w:hAnsi="Arial" w:eastAsia="黑体"/>
      <w:b/>
      <w:sz w:val="28"/>
    </w:rPr>
  </w:style>
  <w:style w:type="character" w:customStyle="1" w:styleId="40">
    <w:name w:val="目录 5 字符"/>
    <w:link w:val="12"/>
    <w:qFormat/>
    <w:uiPriority w:val="39"/>
  </w:style>
  <w:style w:type="character" w:customStyle="1" w:styleId="41">
    <w:name w:val="批注框文本 字符"/>
    <w:basedOn w:val="29"/>
    <w:link w:val="15"/>
    <w:semiHidden/>
    <w:qFormat/>
    <w:uiPriority w:val="99"/>
    <w:rPr>
      <w:kern w:val="2"/>
      <w:sz w:val="18"/>
      <w:szCs w:val="18"/>
    </w:rPr>
  </w:style>
  <w:style w:type="character" w:customStyle="1" w:styleId="42">
    <w:name w:val="页脚 字符"/>
    <w:basedOn w:val="29"/>
    <w:link w:val="16"/>
    <w:qFormat/>
    <w:uiPriority w:val="99"/>
    <w:rPr>
      <w:sz w:val="18"/>
      <w:szCs w:val="18"/>
    </w:rPr>
  </w:style>
  <w:style w:type="character" w:customStyle="1" w:styleId="43">
    <w:name w:val="页眉 字符"/>
    <w:basedOn w:val="29"/>
    <w:link w:val="17"/>
    <w:qFormat/>
    <w:uiPriority w:val="99"/>
    <w:rPr>
      <w:sz w:val="18"/>
      <w:szCs w:val="18"/>
    </w:rPr>
  </w:style>
  <w:style w:type="character" w:customStyle="1" w:styleId="44">
    <w:name w:val="脚注文本 字符"/>
    <w:basedOn w:val="29"/>
    <w:link w:val="20"/>
    <w:semiHidden/>
    <w:qFormat/>
    <w:uiPriority w:val="99"/>
    <w:rPr>
      <w:kern w:val="2"/>
      <w:sz w:val="18"/>
      <w:szCs w:val="18"/>
    </w:rPr>
  </w:style>
  <w:style w:type="paragraph" w:styleId="45">
    <w:name w:val="List Paragraph"/>
    <w:basedOn w:val="1"/>
    <w:qFormat/>
    <w:uiPriority w:val="34"/>
    <w:pPr>
      <w:ind w:firstLine="420" w:firstLineChars="200"/>
    </w:pPr>
  </w:style>
  <w:style w:type="character" w:customStyle="1" w:styleId="46">
    <w:name w:val="工经所正文 Char"/>
    <w:link w:val="47"/>
    <w:qFormat/>
    <w:uiPriority w:val="0"/>
    <w:rPr>
      <w:rFonts w:eastAsia="仿宋_GB2312"/>
      <w:sz w:val="32"/>
      <w:szCs w:val="32"/>
    </w:rPr>
  </w:style>
  <w:style w:type="paragraph" w:customStyle="1" w:styleId="47">
    <w:name w:val="工经所正文"/>
    <w:basedOn w:val="1"/>
    <w:link w:val="46"/>
    <w:qFormat/>
    <w:uiPriority w:val="0"/>
    <w:pPr>
      <w:spacing w:line="600" w:lineRule="exact"/>
      <w:ind w:firstLine="640" w:firstLineChars="200"/>
    </w:pPr>
    <w:rPr>
      <w:rFonts w:eastAsia="仿宋_GB2312"/>
      <w:sz w:val="32"/>
      <w:szCs w:val="32"/>
    </w:rPr>
  </w:style>
  <w:style w:type="table" w:customStyle="1" w:styleId="48">
    <w:name w:val="网格型1"/>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9">
    <w:name w:val="WPSOffice手动目录 1"/>
    <w:qFormat/>
    <w:uiPriority w:val="0"/>
    <w:rPr>
      <w:rFonts w:asciiTheme="minorHAnsi" w:hAnsiTheme="minorHAnsi" w:eastAsiaTheme="minorEastAsia" w:cstheme="minorBidi"/>
      <w:lang w:val="en-US" w:eastAsia="zh-CN" w:bidi="ar-SA"/>
    </w:rPr>
  </w:style>
  <w:style w:type="paragraph" w:customStyle="1" w:styleId="50">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51">
    <w:name w:val="WPSOffice手动目录 3"/>
    <w:link w:val="52"/>
    <w:qFormat/>
    <w:uiPriority w:val="0"/>
    <w:pPr>
      <w:ind w:left="400" w:leftChars="400"/>
    </w:pPr>
    <w:rPr>
      <w:rFonts w:asciiTheme="minorHAnsi" w:hAnsiTheme="minorHAnsi" w:eastAsiaTheme="minorEastAsia" w:cstheme="minorBidi"/>
      <w:lang w:val="en-US" w:eastAsia="zh-CN" w:bidi="ar-SA"/>
    </w:rPr>
  </w:style>
  <w:style w:type="character" w:customStyle="1" w:styleId="52">
    <w:name w:val="WPSOffice手动目录 3 Char"/>
    <w:link w:val="51"/>
    <w:qFormat/>
    <w:uiPriority w:val="0"/>
    <w:rPr>
      <w:sz w:val="20"/>
      <w:szCs w:val="20"/>
    </w:rPr>
  </w:style>
  <w:style w:type="paragraph" w:customStyle="1" w:styleId="53">
    <w:name w:val="样式1"/>
    <w:basedOn w:val="51"/>
    <w:qFormat/>
    <w:uiPriority w:val="0"/>
  </w:style>
  <w:style w:type="paragraph" w:customStyle="1" w:styleId="54">
    <w:name w:val="样式2"/>
    <w:basedOn w:val="47"/>
    <w:next w:val="4"/>
    <w:qFormat/>
    <w:uiPriority w:val="0"/>
  </w:style>
  <w:style w:type="paragraph" w:customStyle="1" w:styleId="55">
    <w:name w:val="样式3"/>
    <w:basedOn w:val="6"/>
    <w:next w:val="1"/>
    <w:link w:val="85"/>
    <w:qFormat/>
    <w:uiPriority w:val="0"/>
  </w:style>
  <w:style w:type="paragraph" w:customStyle="1" w:styleId="56">
    <w:name w:val="样式4"/>
    <w:basedOn w:val="1"/>
    <w:next w:val="6"/>
    <w:qFormat/>
    <w:uiPriority w:val="0"/>
  </w:style>
  <w:style w:type="paragraph" w:customStyle="1" w:styleId="57">
    <w:name w:val="样式5"/>
    <w:basedOn w:val="6"/>
    <w:next w:val="1"/>
    <w:link w:val="58"/>
    <w:qFormat/>
    <w:uiPriority w:val="0"/>
  </w:style>
  <w:style w:type="character" w:customStyle="1" w:styleId="58">
    <w:name w:val="样式5 Char"/>
    <w:link w:val="57"/>
    <w:qFormat/>
    <w:uiPriority w:val="0"/>
    <w:rPr>
      <w:rFonts w:asciiTheme="minorHAnsi" w:hAnsiTheme="minorHAnsi"/>
    </w:rPr>
  </w:style>
  <w:style w:type="table" w:customStyle="1" w:styleId="59">
    <w:name w:val="网格表 2 - 着色 51"/>
    <w:basedOn w:val="27"/>
    <w:qFormat/>
    <w:uiPriority w:val="47"/>
    <w:rPr>
      <w:kern w:val="2"/>
      <w:sz w:val="21"/>
      <w:szCs w:val="22"/>
    </w:rPr>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paragraph" w:customStyle="1" w:styleId="60">
    <w:name w:val="Char1"/>
    <w:basedOn w:val="1"/>
    <w:qFormat/>
    <w:uiPriority w:val="0"/>
    <w:pPr>
      <w:tabs>
        <w:tab w:val="left" w:pos="720"/>
      </w:tabs>
      <w:ind w:left="720" w:hanging="720"/>
    </w:pPr>
    <w:rPr>
      <w:rFonts w:ascii="Calibri" w:hAnsi="Calibri" w:eastAsia="宋体" w:cs="Times New Roman"/>
      <w:sz w:val="24"/>
      <w:szCs w:val="24"/>
    </w:rPr>
  </w:style>
  <w:style w:type="paragraph" w:customStyle="1" w:styleId="61">
    <w:name w:val="_Style 2"/>
    <w:basedOn w:val="1"/>
    <w:qFormat/>
    <w:uiPriority w:val="0"/>
    <w:rPr>
      <w:rFonts w:ascii="Calibri" w:hAnsi="Calibri" w:eastAsia="宋体" w:cs="Times New Roman"/>
      <w:szCs w:val="21"/>
    </w:rPr>
  </w:style>
  <w:style w:type="character" w:customStyle="1" w:styleId="62">
    <w:name w:val="内容正文 字符"/>
    <w:link w:val="63"/>
    <w:qFormat/>
    <w:uiPriority w:val="0"/>
    <w:rPr>
      <w:rFonts w:ascii="MS Mincho" w:hAnsi="MS Mincho" w:eastAsia="MS Mincho"/>
      <w:snapToGrid w:val="0"/>
      <w:sz w:val="32"/>
      <w:szCs w:val="32"/>
    </w:rPr>
  </w:style>
  <w:style w:type="paragraph" w:customStyle="1" w:styleId="63">
    <w:name w:val="内容正文"/>
    <w:basedOn w:val="1"/>
    <w:link w:val="62"/>
    <w:qFormat/>
    <w:uiPriority w:val="0"/>
    <w:pPr>
      <w:spacing w:line="560" w:lineRule="exact"/>
      <w:ind w:firstLine="640" w:firstLineChars="200"/>
    </w:pPr>
    <w:rPr>
      <w:rFonts w:ascii="MS Mincho" w:hAnsi="MS Mincho" w:eastAsia="MS Mincho"/>
      <w:snapToGrid w:val="0"/>
      <w:kern w:val="0"/>
      <w:sz w:val="32"/>
      <w:szCs w:val="32"/>
    </w:rPr>
  </w:style>
  <w:style w:type="paragraph" w:customStyle="1" w:styleId="64">
    <w:name w:val="1正文1"/>
    <w:basedOn w:val="1"/>
    <w:qFormat/>
    <w:uiPriority w:val="99"/>
    <w:pPr>
      <w:adjustRightInd w:val="0"/>
      <w:snapToGrid w:val="0"/>
      <w:spacing w:line="520" w:lineRule="exact"/>
      <w:ind w:firstLine="200" w:firstLineChars="200"/>
    </w:pPr>
    <w:rPr>
      <w:rFonts w:ascii="Calibri" w:hAnsi="Calibri" w:cs="Calibri"/>
      <w:kern w:val="0"/>
      <w:sz w:val="28"/>
      <w:szCs w:val="28"/>
    </w:rPr>
  </w:style>
  <w:style w:type="paragraph" w:customStyle="1" w:styleId="65">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66">
    <w:name w:val="fontstyle01"/>
    <w:basedOn w:val="29"/>
    <w:qFormat/>
    <w:uiPriority w:val="0"/>
    <w:rPr>
      <w:rFonts w:hint="eastAsia" w:ascii="等线" w:hAnsi="等线" w:eastAsia="等线"/>
      <w:color w:val="000000"/>
      <w:sz w:val="28"/>
      <w:szCs w:val="28"/>
    </w:rPr>
  </w:style>
  <w:style w:type="character" w:customStyle="1" w:styleId="67">
    <w:name w:val="fontstyle11"/>
    <w:basedOn w:val="29"/>
    <w:qFormat/>
    <w:uiPriority w:val="0"/>
    <w:rPr>
      <w:rFonts w:hint="default" w:ascii="Arial" w:hAnsi="Arial" w:cs="Arial"/>
      <w:color w:val="000000"/>
      <w:sz w:val="28"/>
      <w:szCs w:val="28"/>
    </w:rPr>
  </w:style>
  <w:style w:type="paragraph" w:customStyle="1" w:styleId="68">
    <w:name w:val="列出段落1"/>
    <w:basedOn w:val="1"/>
    <w:qFormat/>
    <w:uiPriority w:val="34"/>
    <w:pPr>
      <w:ind w:firstLine="420" w:firstLineChars="200"/>
    </w:pPr>
    <w:rPr>
      <w:rFonts w:ascii="Calibri" w:hAnsi="Calibri" w:eastAsia="宋体" w:cs="Times New Roman"/>
    </w:rPr>
  </w:style>
  <w:style w:type="paragraph" w:customStyle="1" w:styleId="69">
    <w:name w:val="三级标题"/>
    <w:basedOn w:val="1"/>
    <w:link w:val="70"/>
    <w:qFormat/>
    <w:uiPriority w:val="0"/>
    <w:pPr>
      <w:spacing w:line="360" w:lineRule="auto"/>
      <w:ind w:firstLine="200" w:firstLineChars="200"/>
      <w:outlineLvl w:val="2"/>
    </w:pPr>
    <w:rPr>
      <w:rFonts w:ascii="仿宋_GB2312" w:hAnsi="Calibri" w:eastAsia="仿宋_GB2312" w:cs="Kartika"/>
      <w:b/>
      <w:sz w:val="28"/>
      <w:szCs w:val="30"/>
    </w:rPr>
  </w:style>
  <w:style w:type="character" w:customStyle="1" w:styleId="70">
    <w:name w:val="三级标题 Char"/>
    <w:link w:val="69"/>
    <w:qFormat/>
    <w:uiPriority w:val="0"/>
    <w:rPr>
      <w:rFonts w:ascii="仿宋_GB2312" w:hAnsi="Calibri" w:eastAsia="仿宋_GB2312" w:cs="Kartika"/>
      <w:b/>
      <w:kern w:val="2"/>
      <w:sz w:val="28"/>
      <w:szCs w:val="30"/>
    </w:rPr>
  </w:style>
  <w:style w:type="paragraph" w:customStyle="1" w:styleId="71">
    <w:name w:val="样式 仿宋_GB2312 三号 行距: 固定值 28 磅"/>
    <w:basedOn w:val="1"/>
    <w:link w:val="72"/>
    <w:qFormat/>
    <w:uiPriority w:val="0"/>
    <w:pPr>
      <w:spacing w:line="560" w:lineRule="exact"/>
      <w:ind w:firstLine="640" w:firstLineChars="200"/>
    </w:pPr>
    <w:rPr>
      <w:rFonts w:ascii="仿宋_GB2312" w:hAnsi="Times New Roman" w:eastAsia="仿宋_GB2312" w:cs="宋体"/>
      <w:sz w:val="32"/>
      <w:szCs w:val="24"/>
    </w:rPr>
  </w:style>
  <w:style w:type="character" w:customStyle="1" w:styleId="72">
    <w:name w:val="样式 仿宋_GB2312 三号 行距: 固定值 28 磅 Char Char"/>
    <w:link w:val="71"/>
    <w:qFormat/>
    <w:uiPriority w:val="0"/>
    <w:rPr>
      <w:rFonts w:ascii="仿宋_GB2312" w:eastAsia="仿宋_GB2312" w:cs="宋体"/>
      <w:kern w:val="2"/>
      <w:sz w:val="32"/>
      <w:szCs w:val="24"/>
    </w:rPr>
  </w:style>
  <w:style w:type="paragraph" w:customStyle="1" w:styleId="73">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74">
    <w:name w:val="fontstyle21"/>
    <w:basedOn w:val="29"/>
    <w:qFormat/>
    <w:uiPriority w:val="0"/>
    <w:rPr>
      <w:rFonts w:hint="default" w:ascii="TimesNewRomanPSMT" w:hAnsi="TimesNewRomanPSMT"/>
      <w:color w:val="000000"/>
      <w:sz w:val="32"/>
      <w:szCs w:val="32"/>
    </w:rPr>
  </w:style>
  <w:style w:type="character" w:customStyle="1" w:styleId="75">
    <w:name w:val="001正文 Char"/>
    <w:link w:val="76"/>
    <w:qFormat/>
    <w:locked/>
    <w:uiPriority w:val="0"/>
    <w:rPr>
      <w:rFonts w:ascii="黑体" w:hAnsi="黑体"/>
      <w:color w:val="000000"/>
      <w:sz w:val="28"/>
    </w:rPr>
  </w:style>
  <w:style w:type="paragraph" w:customStyle="1" w:styleId="76">
    <w:name w:val="001正文"/>
    <w:basedOn w:val="1"/>
    <w:link w:val="75"/>
    <w:qFormat/>
    <w:uiPriority w:val="0"/>
    <w:pPr>
      <w:spacing w:line="360" w:lineRule="auto"/>
      <w:ind w:firstLine="200" w:firstLineChars="200"/>
    </w:pPr>
    <w:rPr>
      <w:rFonts w:ascii="黑体" w:hAnsi="黑体" w:eastAsia="宋体" w:cs="Times New Roman"/>
      <w:color w:val="000000"/>
      <w:kern w:val="0"/>
      <w:sz w:val="28"/>
      <w:szCs w:val="20"/>
    </w:rPr>
  </w:style>
  <w:style w:type="paragraph" w:customStyle="1" w:styleId="77">
    <w:name w:val="01表格文字"/>
    <w:basedOn w:val="1"/>
    <w:link w:val="78"/>
    <w:qFormat/>
    <w:uiPriority w:val="0"/>
    <w:pPr>
      <w:adjustRightInd w:val="0"/>
      <w:jc w:val="center"/>
    </w:pPr>
    <w:rPr>
      <w:rFonts w:cs="Times New Roman" w:asciiTheme="minorEastAsia" w:hAnsiTheme="minorEastAsia"/>
      <w:szCs w:val="24"/>
    </w:rPr>
  </w:style>
  <w:style w:type="character" w:customStyle="1" w:styleId="78">
    <w:name w:val="01表格文字 Char"/>
    <w:basedOn w:val="29"/>
    <w:link w:val="77"/>
    <w:qFormat/>
    <w:uiPriority w:val="0"/>
    <w:rPr>
      <w:rFonts w:asciiTheme="minorEastAsia" w:hAnsiTheme="minorEastAsia" w:eastAsiaTheme="minorEastAsia"/>
      <w:kern w:val="2"/>
      <w:sz w:val="21"/>
      <w:szCs w:val="24"/>
    </w:rPr>
  </w:style>
  <w:style w:type="character" w:customStyle="1" w:styleId="79">
    <w:name w:val="15"/>
    <w:qFormat/>
    <w:uiPriority w:val="0"/>
    <w:rPr>
      <w:rFonts w:hint="default" w:ascii="Times New Roman" w:hAnsi="Times New Roman" w:cs="Times New Roman"/>
    </w:rPr>
  </w:style>
  <w:style w:type="character" w:customStyle="1" w:styleId="80">
    <w:name w:val="bjh-p"/>
    <w:basedOn w:val="29"/>
    <w:qFormat/>
    <w:uiPriority w:val="0"/>
  </w:style>
  <w:style w:type="character" w:customStyle="1" w:styleId="81">
    <w:name w:val="bjh-strong2"/>
    <w:basedOn w:val="29"/>
    <w:qFormat/>
    <w:uiPriority w:val="0"/>
    <w:rPr>
      <w:b/>
      <w:bCs/>
      <w:color w:val="333333"/>
      <w:sz w:val="27"/>
      <w:szCs w:val="27"/>
    </w:rPr>
  </w:style>
  <w:style w:type="paragraph" w:customStyle="1" w:styleId="82">
    <w:name w:val="Char"/>
    <w:basedOn w:val="1"/>
    <w:qFormat/>
    <w:uiPriority w:val="0"/>
    <w:pPr>
      <w:tabs>
        <w:tab w:val="left" w:pos="0"/>
      </w:tabs>
      <w:adjustRightInd w:val="0"/>
      <w:snapToGrid w:val="0"/>
      <w:spacing w:beforeLines="150" w:afterLines="100" w:line="360" w:lineRule="auto"/>
      <w:ind w:firstLine="192" w:firstLineChars="192"/>
    </w:pPr>
    <w:rPr>
      <w:rFonts w:ascii="Calibri" w:hAnsi="Calibri" w:eastAsia="宋体" w:cs="Times New Roman"/>
      <w:szCs w:val="20"/>
    </w:rPr>
  </w:style>
  <w:style w:type="paragraph" w:customStyle="1" w:styleId="83">
    <w:name w:val="0"/>
    <w:basedOn w:val="1"/>
    <w:qFormat/>
    <w:uiPriority w:val="0"/>
    <w:pPr>
      <w:widowControl/>
      <w:snapToGrid w:val="0"/>
    </w:pPr>
    <w:rPr>
      <w:rFonts w:ascii="Times New Roman" w:hAnsi="Times New Roman" w:eastAsia="仿宋_GB2312" w:cs="Times New Roman"/>
      <w:kern w:val="0"/>
      <w:sz w:val="32"/>
      <w:szCs w:val="21"/>
    </w:rPr>
  </w:style>
  <w:style w:type="paragraph" w:customStyle="1" w:styleId="84">
    <w:name w:val="body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5">
    <w:name w:val="样式3 Char"/>
    <w:link w:val="55"/>
    <w:qFormat/>
    <w:uiPriority w:val="0"/>
  </w:style>
  <w:style w:type="character" w:customStyle="1" w:styleId="86">
    <w:name w:val="标题 5 字符"/>
    <w:link w:val="6"/>
    <w:qFormat/>
    <w:uiPriority w:val="9"/>
    <w:rPr>
      <w:b/>
      <w:sz w:val="28"/>
    </w:rPr>
  </w:style>
  <w:style w:type="paragraph" w:customStyle="1" w:styleId="8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8">
    <w:name w:val="time"/>
    <w:basedOn w:val="29"/>
    <w:qFormat/>
    <w:uiPriority w:val="0"/>
  </w:style>
  <w:style w:type="character" w:customStyle="1" w:styleId="89">
    <w:name w:val="msg-read"/>
    <w:basedOn w:val="29"/>
    <w:qFormat/>
    <w:uiPriority w:val="0"/>
  </w:style>
  <w:style w:type="character" w:customStyle="1" w:styleId="90">
    <w:name w:val="三级标题 字符"/>
    <w:basedOn w:val="29"/>
    <w:qFormat/>
    <w:uiPriority w:val="0"/>
    <w:rPr>
      <w:rFonts w:ascii="Times New Roman" w:hAnsi="Times New Roman" w:eastAsia="仿宋_GB2312" w:cstheme="minorBidi"/>
      <w:b/>
      <w:kern w:val="2"/>
      <w:sz w:val="32"/>
      <w:szCs w:val="32"/>
    </w:rPr>
  </w:style>
  <w:style w:type="paragraph" w:customStyle="1" w:styleId="91">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character" w:customStyle="1" w:styleId="92">
    <w:name w:val="文档结构图 字符"/>
    <w:basedOn w:val="29"/>
    <w:link w:val="9"/>
    <w:semiHidden/>
    <w:qFormat/>
    <w:uiPriority w:val="99"/>
    <w:rPr>
      <w:rFonts w:ascii="宋体" w:eastAsia="宋体"/>
      <w:kern w:val="2"/>
      <w:sz w:val="18"/>
      <w:szCs w:val="18"/>
    </w:rPr>
  </w:style>
  <w:style w:type="character" w:customStyle="1" w:styleId="93">
    <w:name w:val="正文文本 字符"/>
    <w:basedOn w:val="29"/>
    <w:link w:val="11"/>
    <w:semiHidden/>
    <w:qFormat/>
    <w:uiPriority w:val="99"/>
    <w:rPr>
      <w:rFonts w:ascii="Calibri" w:hAnsi="Calibri" w:eastAsia="宋体" w:cs="Times New Roman"/>
      <w:kern w:val="2"/>
      <w:sz w:val="21"/>
      <w:szCs w:val="22"/>
    </w:rPr>
  </w:style>
  <w:style w:type="character" w:customStyle="1" w:styleId="94">
    <w:name w:val="正文首行缩进 字符"/>
    <w:basedOn w:val="93"/>
    <w:link w:val="26"/>
    <w:qFormat/>
    <w:uiPriority w:val="0"/>
    <w:rPr>
      <w:rFonts w:ascii="Times New Roman" w:hAnsi="Times New Roman" w:eastAsia="宋体" w:cs="Times New Roman"/>
      <w:kern w:val="2"/>
      <w:sz w:val="21"/>
      <w:szCs w:val="22"/>
    </w:rPr>
  </w:style>
  <w:style w:type="character" w:customStyle="1" w:styleId="95">
    <w:name w:val="批注文字 字符"/>
    <w:basedOn w:val="29"/>
    <w:link w:val="10"/>
    <w:qFormat/>
    <w:uiPriority w:val="0"/>
    <w:rPr>
      <w:rFonts w:ascii="Times New Roman" w:hAnsi="Times New Roman" w:eastAsia="宋体" w:cs="Times New Roman"/>
      <w:kern w:val="2"/>
      <w:sz w:val="21"/>
      <w:szCs w:val="22"/>
    </w:rPr>
  </w:style>
  <w:style w:type="paragraph" w:customStyle="1" w:styleId="96">
    <w:name w:val="正文首行缩进 21"/>
    <w:basedOn w:val="1"/>
    <w:qFormat/>
    <w:uiPriority w:val="0"/>
    <w:pPr>
      <w:ind w:left="420" w:leftChars="200" w:firstLine="420" w:firstLineChars="200"/>
    </w:pPr>
    <w:rPr>
      <w:rFonts w:eastAsia="宋体" w:cs="Times New Roman"/>
    </w:rPr>
  </w:style>
  <w:style w:type="character" w:customStyle="1" w:styleId="97">
    <w:name w:val="font31"/>
    <w:basedOn w:val="29"/>
    <w:uiPriority w:val="0"/>
    <w:rPr>
      <w:rFonts w:hint="eastAsia" w:ascii="宋体" w:hAnsi="宋体" w:eastAsia="宋体" w:cs="宋体"/>
      <w:color w:val="000000"/>
      <w:sz w:val="20"/>
      <w:szCs w:val="20"/>
      <w:u w:val="none"/>
    </w:rPr>
  </w:style>
  <w:style w:type="character" w:customStyle="1" w:styleId="98">
    <w:name w:val="font21"/>
    <w:basedOn w:val="29"/>
    <w:qFormat/>
    <w:uiPriority w:val="0"/>
    <w:rPr>
      <w:rFonts w:hint="eastAsia" w:ascii="宋体" w:hAnsi="宋体" w:eastAsia="宋体" w:cs="宋体"/>
      <w:b/>
      <w:color w:val="000000"/>
      <w:sz w:val="20"/>
      <w:szCs w:val="20"/>
      <w:u w:val="none"/>
    </w:rPr>
  </w:style>
  <w:style w:type="character" w:customStyle="1" w:styleId="99">
    <w:name w:val="font101"/>
    <w:basedOn w:val="29"/>
    <w:uiPriority w:val="0"/>
    <w:rPr>
      <w:rFonts w:hint="eastAsia" w:ascii="宋体" w:hAnsi="宋体" w:eastAsia="宋体" w:cs="宋体"/>
      <w:color w:val="000000"/>
      <w:sz w:val="20"/>
      <w:szCs w:val="20"/>
      <w:u w:val="none"/>
    </w:rPr>
  </w:style>
  <w:style w:type="character" w:customStyle="1" w:styleId="100">
    <w:name w:val="一级标题"/>
    <w:basedOn w:val="29"/>
    <w:qFormat/>
    <w:uiPriority w:val="0"/>
    <w:rPr>
      <w:rFonts w:ascii="黑体" w:eastAsia="黑体"/>
      <w:sz w:val="32"/>
    </w:rPr>
  </w:style>
  <w:style w:type="paragraph" w:customStyle="1" w:styleId="101">
    <w:name w:val="正文_0"/>
    <w:qFormat/>
    <w:uiPriority w:val="0"/>
    <w:pPr>
      <w:widowControl w:val="0"/>
      <w:adjustRightInd w:val="0"/>
      <w:snapToGrid w:val="0"/>
      <w:spacing w:line="360" w:lineRule="auto"/>
      <w:ind w:firstLine="200" w:firstLineChars="200"/>
      <w:jc w:val="both"/>
    </w:pPr>
    <w:rPr>
      <w:rFonts w:ascii="Times New Roman" w:hAnsi="Times New Roman" w:eastAsia="宋体" w:cs="Times New Roman"/>
      <w:snapToGrid w:val="0"/>
      <w:sz w:val="28"/>
      <w:szCs w:val="24"/>
      <w:lang w:val="en-US" w:eastAsia="zh-CN" w:bidi="ar-SA"/>
    </w:rPr>
  </w:style>
  <w:style w:type="paragraph" w:customStyle="1" w:styleId="102">
    <w:name w:val="列出段落2"/>
    <w:basedOn w:val="1"/>
    <w:qFormat/>
    <w:uiPriority w:val="99"/>
    <w:pPr>
      <w:ind w:firstLine="420" w:firstLineChars="200"/>
    </w:pPr>
    <w:rPr>
      <w:rFonts w:ascii="Times New Roman" w:hAnsi="Times New Roman" w:eastAsia="宋体" w:cs="Times New Roman"/>
      <w:szCs w:val="24"/>
    </w:rPr>
  </w:style>
  <w:style w:type="character" w:customStyle="1" w:styleId="103">
    <w:name w:val="批注主题 字符"/>
    <w:basedOn w:val="95"/>
    <w:link w:val="25"/>
    <w:semiHidden/>
    <w:qFormat/>
    <w:uiPriority w:val="99"/>
    <w:rPr>
      <w:rFonts w:asciiTheme="minorHAnsi" w:hAnsiTheme="minorHAnsi" w:eastAsiaTheme="minorEastAsia" w:cstheme="minorBidi"/>
      <w:b/>
      <w:bCs/>
      <w:kern w:val="2"/>
      <w:sz w:val="21"/>
      <w:szCs w:val="22"/>
    </w:rPr>
  </w:style>
  <w:style w:type="character" w:customStyle="1" w:styleId="104">
    <w:name w:val="NormalCharacter"/>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98C57-B9C7-46FA-9B07-80F8787B8C22}">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3167</Words>
  <Characters>18058</Characters>
  <Lines>150</Lines>
  <Paragraphs>42</Paragraphs>
  <TotalTime>55</TotalTime>
  <ScaleCrop>false</ScaleCrop>
  <LinksUpToDate>false</LinksUpToDate>
  <CharactersWithSpaces>21183</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2021-08-14T01:14:00Z</dcterms:created>
  <dc:creator>Windows 用户</dc:creator>
  <cp:lastModifiedBy>mashimaro</cp:lastModifiedBy>
  <cp:lastPrinted>2021-08-16T05:40:00Z</cp:lastPrinted>
  <dcterms:modified xsi:type="dcterms:W3CDTF">2021-11-24T08:14:46Z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