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color w:val="auto"/>
          <w:sz w:val="72"/>
          <w:szCs w:val="72"/>
          <w:u w:val="none"/>
          <w:lang w:val="en-US" w:eastAsia="zh-CN"/>
        </w:rPr>
      </w:pPr>
    </w:p>
    <w:p>
      <w:pPr>
        <w:jc w:val="both"/>
        <w:rPr>
          <w:rFonts w:hint="eastAsia" w:ascii="仿宋" w:hAnsi="仿宋" w:eastAsia="仿宋" w:cs="仿宋"/>
          <w:b/>
          <w:bCs/>
          <w:color w:val="auto"/>
          <w:sz w:val="72"/>
          <w:szCs w:val="72"/>
          <w:u w:val="none"/>
          <w:lang w:val="en-US" w:eastAsia="zh-CN"/>
        </w:rPr>
      </w:pPr>
    </w:p>
    <w:p>
      <w:pPr>
        <w:jc w:val="center"/>
        <w:rPr>
          <w:rFonts w:hint="eastAsia" w:ascii="仿宋" w:hAnsi="仿宋" w:eastAsia="仿宋" w:cs="仿宋"/>
          <w:b/>
          <w:bCs/>
          <w:color w:val="FF0000"/>
          <w:sz w:val="52"/>
          <w:szCs w:val="52"/>
          <w:u w:val="none"/>
          <w:lang w:val="en-US" w:eastAsia="zh-CN"/>
        </w:rPr>
      </w:pPr>
      <w:r>
        <w:rPr>
          <w:rFonts w:hint="eastAsia" w:ascii="仿宋" w:hAnsi="仿宋" w:eastAsia="仿宋" w:cs="仿宋"/>
          <w:b/>
          <w:bCs/>
          <w:color w:val="FF0000"/>
          <w:sz w:val="72"/>
          <w:szCs w:val="72"/>
          <w:u w:val="none"/>
          <w:lang w:val="en-US" w:eastAsia="zh-CN"/>
        </w:rPr>
        <w:t>政府采购研讨小组简报</w:t>
      </w:r>
    </w:p>
    <w:p>
      <w:pPr>
        <w:pStyle w:val="2"/>
        <w:ind w:left="0" w:leftChars="0" w:firstLine="0" w:firstLineChars="0"/>
        <w:jc w:val="center"/>
        <w:rPr>
          <w:rFonts w:hint="eastAsia" w:ascii="仿宋" w:hAnsi="仿宋" w:eastAsia="仿宋" w:cs="仿宋"/>
          <w:b/>
          <w:bCs/>
          <w:color w:val="FF0000"/>
          <w:sz w:val="52"/>
          <w:szCs w:val="52"/>
          <w:lang w:val="en-US" w:eastAsia="zh-CN"/>
        </w:rPr>
      </w:pPr>
    </w:p>
    <w:p>
      <w:pPr>
        <w:pStyle w:val="20"/>
        <w:jc w:val="center"/>
        <w:rPr>
          <w:rFonts w:hint="eastAsia"/>
          <w:color w:val="FF0000"/>
          <w:lang w:val="en-US" w:eastAsia="zh-CN"/>
        </w:rPr>
      </w:pPr>
    </w:p>
    <w:p>
      <w:pPr>
        <w:pStyle w:val="20"/>
        <w:jc w:val="center"/>
        <w:rPr>
          <w:rFonts w:hint="eastAsia"/>
          <w:color w:val="FF0000"/>
          <w:lang w:val="en-US" w:eastAsia="zh-CN"/>
        </w:rPr>
      </w:pPr>
      <w:bookmarkStart w:id="566" w:name="_GoBack"/>
      <w:bookmarkEnd w:id="566"/>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仿宋" w:hAnsi="仿宋" w:eastAsia="仿宋" w:cs="仿宋"/>
          <w:color w:val="FF0000"/>
          <w:sz w:val="44"/>
          <w:szCs w:val="44"/>
          <w:highlight w:val="none"/>
          <w:lang w:val="en-US" w:eastAsia="zh-CN"/>
        </w:rPr>
      </w:pPr>
      <w:r>
        <w:rPr>
          <w:rFonts w:hint="eastAsia" w:ascii="仿宋" w:hAnsi="仿宋" w:eastAsia="仿宋" w:cs="仿宋"/>
          <w:color w:val="FF0000"/>
          <w:sz w:val="44"/>
          <w:szCs w:val="44"/>
          <w:highlight w:val="none"/>
          <w:lang w:val="en-US" w:eastAsia="zh-CN"/>
        </w:rPr>
        <w:t>2023 年第 2 期</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仿宋" w:hAnsi="仿宋" w:eastAsia="仿宋" w:cs="仿宋"/>
          <w:color w:val="FF0000"/>
          <w:sz w:val="44"/>
          <w:szCs w:val="44"/>
          <w:highlight w:val="none"/>
          <w:lang w:val="en-US" w:eastAsia="zh-CN"/>
        </w:rPr>
      </w:pPr>
      <w:r>
        <w:rPr>
          <w:rFonts w:hint="eastAsia" w:ascii="仿宋" w:hAnsi="仿宋" w:eastAsia="仿宋" w:cs="仿宋"/>
          <w:color w:val="FF0000"/>
          <w:sz w:val="44"/>
          <w:szCs w:val="44"/>
          <w:highlight w:val="none"/>
          <w:lang w:val="en-US" w:eastAsia="zh-CN"/>
        </w:rPr>
        <w:t>（总第6期）</w:t>
      </w:r>
    </w:p>
    <w:p>
      <w:pPr>
        <w:tabs>
          <w:tab w:val="left" w:pos="6691"/>
        </w:tabs>
        <w:jc w:val="left"/>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tab/>
      </w:r>
    </w:p>
    <w:p>
      <w:pPr>
        <w:pStyle w:val="20"/>
        <w:ind w:left="0" w:leftChars="0" w:firstLine="0" w:firstLineChars="0"/>
        <w:rPr>
          <w:rFonts w:hint="eastAsia"/>
          <w:color w:val="auto"/>
          <w:lang w:val="en-US" w:eastAsia="zh-CN"/>
        </w:rPr>
      </w:pPr>
    </w:p>
    <w:p>
      <w:pPr>
        <w:pStyle w:val="20"/>
        <w:ind w:left="0" w:leftChars="0" w:firstLine="0" w:firstLineChars="0"/>
        <w:rPr>
          <w:rFonts w:hint="eastAsia"/>
          <w:color w:val="auto"/>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sz w:val="28"/>
          <w:szCs w:val="28"/>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sz w:val="28"/>
          <w:szCs w:val="28"/>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sz w:val="28"/>
          <w:szCs w:val="28"/>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sz w:val="28"/>
          <w:szCs w:val="28"/>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auto"/>
          <w:sz w:val="28"/>
          <w:szCs w:val="28"/>
          <w:lang w:val="en-US" w:eastAsia="zh-CN"/>
        </w:rPr>
      </w:pPr>
      <w:r>
        <w:rPr>
          <w:color w:val="auto"/>
          <w:sz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401320</wp:posOffset>
                </wp:positionV>
                <wp:extent cx="5948680" cy="4445"/>
                <wp:effectExtent l="0" t="28575" r="13970" b="43180"/>
                <wp:wrapNone/>
                <wp:docPr id="1" name="直接连接符 1"/>
                <wp:cNvGraphicFramePr/>
                <a:graphic xmlns:a="http://schemas.openxmlformats.org/drawingml/2006/main">
                  <a:graphicData uri="http://schemas.microsoft.com/office/word/2010/wordprocessingShape">
                    <wps:wsp>
                      <wps:cNvCnPr/>
                      <wps:spPr>
                        <a:xfrm>
                          <a:off x="0" y="0"/>
                          <a:ext cx="5948680" cy="4445"/>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5pt;margin-top:31.6pt;height:0.35pt;width:468.4pt;z-index:251659264;mso-width-relative:page;mso-height-relative:page;" filled="f" stroked="t" coordsize="21600,21600" o:gfxdata="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qz9UnWAAAACAEAAA8AAAAAAAAAAQAgAAAAIgAAAGRycy9kb3ducmV2LnhtbFBL&#10;AQIUABQAAAAIAIdO4kDGc3p5+AEAAOgDAAAOAAAAAAAAAAEAIAAAACUBAABkcnMvZTJvRG9jLnht&#10;bFBLBQYAAAAABgAGAFkBAACPBQAAAAA=&#10;">
                <v:fill on="f" focussize="0,0"/>
                <v:stroke weight="4.5pt" color="#FF0000" joinstyle="round"/>
                <v:imagedata o:title=""/>
                <o:lock v:ext="edit" aspectratio="f"/>
              </v:line>
            </w:pict>
          </mc:Fallback>
        </mc:AlternateContent>
      </w:r>
      <w:r>
        <w:rPr>
          <w:rFonts w:hint="eastAsia" w:ascii="仿宋" w:hAnsi="仿宋" w:eastAsia="仿宋" w:cs="仿宋"/>
          <w:color w:val="auto"/>
          <w:sz w:val="28"/>
          <w:szCs w:val="28"/>
          <w:lang w:val="en-US" w:eastAsia="zh-CN"/>
        </w:rPr>
        <w:t>奉化区财政局采购办                               2023年7月10日</w:t>
      </w:r>
    </w:p>
    <w:p>
      <w:pPr>
        <w:pStyle w:val="20"/>
        <w:keepNext w:val="0"/>
        <w:keepLines w:val="0"/>
        <w:pageBreakBefore w:val="0"/>
        <w:widowControl w:val="0"/>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研讨人员：</w:t>
      </w:r>
      <w:r>
        <w:rPr>
          <w:rFonts w:hint="eastAsia" w:ascii="仿宋" w:hAnsi="仿宋" w:eastAsia="仿宋" w:cs="仿宋"/>
          <w:color w:val="auto"/>
          <w:sz w:val="28"/>
          <w:szCs w:val="28"/>
          <w:lang w:val="en-US" w:eastAsia="zh-CN"/>
        </w:rPr>
        <w:t xml:space="preserve">唐祥 丁涌辉 赵娜 史涛 杜宏发 王鲁科 竺海芬 </w:t>
      </w: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仿宋" w:hAnsi="仿宋" w:eastAsia="仿宋" w:cs="仿宋"/>
          <w:b/>
          <w:bCs/>
          <w:color w:val="auto"/>
          <w:sz w:val="44"/>
          <w:szCs w:val="44"/>
          <w:lang w:val="en-US" w:eastAsia="zh-CN"/>
        </w:rPr>
        <w:sectPr>
          <w:headerReference r:id="rId3" w:type="default"/>
          <w:footerReference r:id="rId4" w:type="default"/>
          <w:pgSz w:w="11906" w:h="16838"/>
          <w:pgMar w:top="1270" w:right="1463" w:bottom="1270" w:left="1463" w:header="851" w:footer="992" w:gutter="0"/>
          <w:pgNumType w:fmt="decimal" w:start="1"/>
          <w:cols w:space="0" w:num="1"/>
          <w:rtlGutter w:val="0"/>
          <w:docGrid w:type="lines" w:linePitch="312" w:charSpace="0"/>
        </w:sectPr>
      </w:pPr>
      <w:r>
        <w:rPr>
          <w:rFonts w:hint="eastAsia" w:ascii="仿宋" w:hAnsi="仿宋" w:eastAsia="仿宋" w:cs="仿宋"/>
          <w:b/>
          <w:bCs/>
          <w:color w:val="auto"/>
          <w:sz w:val="28"/>
          <w:szCs w:val="28"/>
          <w:lang w:val="en-US" w:eastAsia="zh-CN"/>
        </w:rPr>
        <w:t>编辑成员：</w:t>
      </w:r>
      <w:r>
        <w:rPr>
          <w:rFonts w:hint="eastAsia" w:ascii="仿宋" w:hAnsi="仿宋" w:eastAsia="仿宋" w:cs="仿宋"/>
          <w:b w:val="0"/>
          <w:bCs w:val="0"/>
          <w:color w:val="auto"/>
          <w:sz w:val="28"/>
          <w:szCs w:val="28"/>
          <w:lang w:val="en-US" w:eastAsia="zh-CN"/>
        </w:rPr>
        <w:t xml:space="preserve">丁君儿 赵玲莉 </w:t>
      </w:r>
      <w:r>
        <w:rPr>
          <w:rFonts w:hint="eastAsia" w:ascii="仿宋" w:hAnsi="仿宋" w:eastAsia="仿宋" w:cs="仿宋"/>
          <w:color w:val="auto"/>
          <w:sz w:val="28"/>
          <w:szCs w:val="28"/>
          <w:lang w:val="en-US" w:eastAsia="zh-CN"/>
        </w:rPr>
        <w:t xml:space="preserve">邓丽敏 </w:t>
      </w:r>
    </w:p>
    <w:p>
      <w:pPr>
        <w:rPr>
          <w:rFonts w:hint="eastAsia" w:ascii="仿宋" w:hAnsi="仿宋" w:eastAsia="仿宋" w:cs="仿宋"/>
          <w:b/>
          <w:bCs/>
          <w:color w:val="auto"/>
          <w:sz w:val="44"/>
          <w:szCs w:val="44"/>
          <w:lang w:val="en-US" w:eastAsia="zh-CN"/>
        </w:rPr>
      </w:pPr>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44"/>
          <w:szCs w:val="44"/>
          <w:lang w:val="en-US" w:eastAsia="zh-CN"/>
        </w:rPr>
        <w:t>首页寄语</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jc w:val="left"/>
        <w:textAlignment w:val="auto"/>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jc w:val="left"/>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政府采购合同与政府采购结果、采购标的质量、采购人和供应商的权利与义务息息相关，政府采购相关法律法规涉及到合同的条款却非常有限。为进一步加强政府采购合同管理，规范政府采购合同的签订、公开、备案及履约验收工作，本期研讨会对如何规范签订政府采购合同、签订及履行合同中常见问题等进行梳理，并提供政府采购合同参考范本（货物类、服务类、工程类）供大家参考。</w:t>
      </w:r>
    </w:p>
    <w:p>
      <w:pPr>
        <w:pStyle w:val="2"/>
        <w:rPr>
          <w:rFonts w:hint="eastAsia"/>
          <w:color w:val="auto"/>
          <w:lang w:val="en-US" w:eastAsia="zh-CN"/>
        </w:rPr>
      </w:pPr>
    </w:p>
    <w:p>
      <w:pPr>
        <w:rPr>
          <w:rFonts w:hint="eastAsia" w:ascii="黑体" w:hAnsi="黑体" w:eastAsia="黑体" w:cs="仿宋"/>
          <w:b/>
          <w:bCs/>
          <w:color w:val="auto"/>
          <w:kern w:val="0"/>
          <w:sz w:val="28"/>
          <w:szCs w:val="28"/>
        </w:rPr>
      </w:pPr>
      <w:r>
        <w:rPr>
          <w:rFonts w:hint="eastAsia" w:ascii="黑体" w:hAnsi="黑体" w:eastAsia="黑体" w:cs="仿宋"/>
          <w:b/>
          <w:bCs/>
          <w:color w:val="auto"/>
          <w:kern w:val="0"/>
          <w:sz w:val="28"/>
          <w:szCs w:val="28"/>
        </w:rPr>
        <w:br w:type="page"/>
      </w:r>
    </w:p>
    <w:p>
      <w:pPr>
        <w:jc w:val="center"/>
        <w:rPr>
          <w:rFonts w:ascii="黑体" w:hAnsi="黑体" w:eastAsia="黑体" w:cs="黑体"/>
          <w:color w:val="auto"/>
          <w:sz w:val="52"/>
          <w:szCs w:val="72"/>
        </w:rPr>
      </w:pPr>
      <w:r>
        <w:rPr>
          <w:rFonts w:hint="eastAsia" w:ascii="黑体" w:hAnsi="黑体" w:eastAsia="黑体" w:cs="黑体"/>
          <w:color w:val="auto"/>
          <w:sz w:val="52"/>
          <w:szCs w:val="72"/>
        </w:rPr>
        <w:t>政府采购合同专题</w:t>
      </w:r>
    </w:p>
    <w:p>
      <w:pPr>
        <w:rPr>
          <w:rFonts w:ascii="黑体" w:hAnsi="黑体" w:eastAsia="黑体" w:cs="黑体"/>
          <w:color w:val="auto"/>
          <w:sz w:val="36"/>
          <w:szCs w:val="44"/>
        </w:rPr>
      </w:pPr>
      <w:r>
        <w:rPr>
          <w:rFonts w:hint="eastAsia" w:ascii="黑体" w:hAnsi="黑体" w:eastAsia="黑体" w:cs="黑体"/>
          <w:color w:val="auto"/>
          <w:sz w:val="36"/>
          <w:szCs w:val="44"/>
        </w:rPr>
        <w:t>一、合同组成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《中华人民共和国民法典》第四百七十条</w:t>
      </w:r>
      <w:r>
        <w:rPr>
          <w:rFonts w:hint="eastAsia" w:asciiTheme="minorEastAsia" w:hAnsiTheme="minorEastAsia" w:cstheme="minorEastAsia"/>
          <w:b w:val="0"/>
          <w:bCs w:val="0"/>
          <w:color w:val="auto"/>
          <w:sz w:val="24"/>
          <w:lang w:val="en-US" w:eastAsia="zh-CN"/>
        </w:rPr>
        <w:t>及</w:t>
      </w:r>
      <w:r>
        <w:rPr>
          <w:rFonts w:ascii="Arial" w:hAnsi="Arial" w:eastAsia="宋体" w:cs="Arial"/>
          <w:b w:val="0"/>
          <w:bCs w:val="0"/>
          <w:color w:val="auto"/>
          <w:sz w:val="24"/>
        </w:rPr>
        <w:t>《政府采购货物和服务招标投标管理办法》</w:t>
      </w:r>
      <w:r>
        <w:rPr>
          <w:rFonts w:hint="eastAsia" w:ascii="Arial" w:hAnsi="Arial" w:eastAsia="宋体" w:cs="Arial"/>
          <w:b w:val="0"/>
          <w:bCs w:val="0"/>
          <w:color w:val="auto"/>
          <w:sz w:val="24"/>
        </w:rPr>
        <w:t xml:space="preserve"> </w:t>
      </w:r>
      <w:r>
        <w:rPr>
          <w:rFonts w:asciiTheme="minorEastAsia" w:hAnsiTheme="minorEastAsia" w:cstheme="minorEastAsia"/>
          <w:b w:val="0"/>
          <w:bCs w:val="0"/>
          <w:color w:val="auto"/>
          <w:sz w:val="24"/>
        </w:rPr>
        <w:t>第七十二条</w:t>
      </w:r>
      <w:r>
        <w:rPr>
          <w:rFonts w:hint="eastAsia" w:asciiTheme="minorEastAsia" w:hAnsiTheme="minorEastAsia" w:cstheme="minorEastAsia"/>
          <w:b w:val="0"/>
          <w:bCs w:val="0"/>
          <w:color w:val="auto"/>
          <w:sz w:val="24"/>
          <w:lang w:val="en-US" w:eastAsia="zh-CN"/>
        </w:rPr>
        <w:t xml:space="preserve"> 规定</w:t>
      </w:r>
      <w:r>
        <w:rPr>
          <w:rFonts w:asciiTheme="minorEastAsia" w:hAnsiTheme="minorEastAsia" w:cstheme="minorEastAsia"/>
          <w:b w:val="0"/>
          <w:bCs w:val="0"/>
          <w:color w:val="auto"/>
          <w:sz w:val="24"/>
        </w:rPr>
        <w:t>政府采购合同应当包括采购人与中标人的名称和住所、标的、数量、质量、价款或者报酬、履行期限及地点和方式、</w:t>
      </w:r>
      <w:r>
        <w:rPr>
          <w:rFonts w:asciiTheme="minorEastAsia" w:hAnsiTheme="minorEastAsia" w:cstheme="minorEastAsia"/>
          <w:b w:val="0"/>
          <w:bCs w:val="0"/>
          <w:color w:val="auto"/>
          <w:sz w:val="24"/>
          <w:highlight w:val="none"/>
        </w:rPr>
        <w:t>验收要求</w:t>
      </w:r>
      <w:r>
        <w:rPr>
          <w:rFonts w:asciiTheme="minorEastAsia" w:hAnsiTheme="minorEastAsia" w:cstheme="minorEastAsia"/>
          <w:b w:val="0"/>
          <w:bCs w:val="0"/>
          <w:color w:val="auto"/>
          <w:sz w:val="24"/>
        </w:rPr>
        <w:t>、违约责任、解决争议的方法等内容。</w:t>
      </w:r>
    </w:p>
    <w:p>
      <w:pPr>
        <w:spacing w:line="360" w:lineRule="auto"/>
        <w:ind w:firstLine="480" w:firstLineChars="200"/>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《中华人民共和国政府采购法》第四十六条  采购人与中标、成交供应商应当在中标、成交通知书发出之日起三十日内，按照采购文件确定的事项签订政府采购合同。 中标、成交通知书对采购人和中标、成交供应商均具有法律效力。中标、成交通知书发出后，采购人改变中标、成交结果的，或者中标、成交供应商放弃中标、成交项目的，应当依法承担法律责任。</w:t>
      </w:r>
    </w:p>
    <w:p>
      <w:pPr>
        <w:pStyle w:val="14"/>
        <w:rPr>
          <w:color w:val="auto"/>
        </w:rPr>
      </w:pPr>
    </w:p>
    <w:p>
      <w:pPr>
        <w:rPr>
          <w:rFonts w:ascii="黑体" w:hAnsi="黑体" w:eastAsia="黑体" w:cs="黑体"/>
          <w:color w:val="auto"/>
          <w:sz w:val="36"/>
          <w:szCs w:val="44"/>
        </w:rPr>
      </w:pPr>
      <w:r>
        <w:rPr>
          <w:rFonts w:hint="eastAsia" w:ascii="黑体" w:hAnsi="黑体" w:eastAsia="黑体" w:cs="黑体"/>
          <w:color w:val="auto"/>
          <w:sz w:val="36"/>
          <w:szCs w:val="44"/>
        </w:rPr>
        <w:t>二、合同类型</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通用货物、工程和服务采购，应当采用固定价格定价方式。固定价格，是指合同订立时已经确定合同价格，非由法定或约定事由不得变更的定价方式。对于采购时可以准确估算采购成本的情形，采购人应当选择固定价格的合同定价方式。合同订立时采购数量能够确定的，应当采用固定总价的定价方式；合同订立时采购数量无法确定的，应当采用固定单价的定价方式。</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1、固定总价合同</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固定总结合同俗称“闭口合同”“包死合同”，合同总价款一经约定，一律不得调整。</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优点：固定总价合同在政府采购实践中最为普遍，原因是：总价固定、易于结算，量与价的风险主要由中标/成交供应商承担，索赔机会少。总的来说，固定总价合同更能保护采购人的权益。</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缺点：有些项目单价明确、但总数量却很难确定，签署固定总价合同不切合实际的需要，很可能达不成采购目的；如果合同履行周期较长、材料成本上涨较大，或项目特别是工程结构复杂、工作量漏算错算难免，中标成交供应商可能会因为损失过大，选择停工、诉讼或仲裁，向采购人谋求补偿，合同履行的质量、时间就会大打折扣。</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2、固定单价合同</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固定单价合同是指对于单价固定、数量不固定的项目，采购人可以与供应商约定固定单价，然后根据实际完成的工作量或者工程量进行结算的合同类型。</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在政府采购实践中，类似工程造价咨询服务、人身保险、监狱犯人配套物资采购等项目，就适宜签订固定单价合同。</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优点：与固定总价合同相比，固定单价合同既坚持了政府采购价格竞争的核心价值，又具有结合实际的灵活特性；同时也在一定程度上可以倒逼中标/成交供应商改善经营管理、节省物耗、降低成本。</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需要指出的是，固定单价合同并不是没有金额预算的合同，采购人要结合自身的历史信息、业务承受能力，对数量做出一定预计，“预算是采购的最高限价”这一铁律是不能突破的。</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lang w:val="en-US" w:eastAsia="zh-CN"/>
        </w:rPr>
        <w:t>3</w:t>
      </w:r>
      <w:r>
        <w:rPr>
          <w:rFonts w:hint="eastAsia" w:asciiTheme="minorEastAsia" w:hAnsiTheme="minorEastAsia" w:cstheme="minorEastAsia"/>
          <w:color w:val="auto"/>
          <w:sz w:val="24"/>
        </w:rPr>
        <w:t>、绩效激励合同</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在首购订购、政府和社会资本合作、服务采购、政府购买服务项目中，由于项目的履约验收具有长期的持续性，衡量“买得值不值”是一个难题。</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因此，在签订合同时，应该明确相关绩效目标、指标和权重，采购人、承接主体应当定期对指标实现程度进行跟踪评价，并根据实际执行情况与绩效目标偏离程度决定资金结算。</w:t>
      </w:r>
    </w:p>
    <w:p>
      <w:pPr>
        <w:spacing w:line="360" w:lineRule="auto"/>
        <w:ind w:firstLine="480" w:firstLineChars="200"/>
        <w:rPr>
          <w:color w:val="auto"/>
        </w:rPr>
      </w:pPr>
      <w:r>
        <w:rPr>
          <w:rFonts w:hint="eastAsia" w:asciiTheme="minorEastAsia" w:hAnsiTheme="minorEastAsia" w:cstheme="minorEastAsia"/>
          <w:color w:val="auto"/>
          <w:sz w:val="24"/>
        </w:rPr>
        <w:t>没有达到绩效目标的，扣除一定比例资金，不得续签合同；超出绩效目标，应当给予总价之外预先确定的额外激励费用，但整体费用不得超出开始确定的采购预算。</w:t>
      </w:r>
    </w:p>
    <w:p>
      <w:pPr>
        <w:rPr>
          <w:rFonts w:ascii="黑体" w:hAnsi="黑体" w:eastAsia="黑体" w:cs="黑体"/>
          <w:color w:val="auto"/>
          <w:sz w:val="36"/>
          <w:szCs w:val="44"/>
        </w:rPr>
      </w:pPr>
      <w:r>
        <w:rPr>
          <w:rFonts w:hint="eastAsia" w:ascii="黑体" w:hAnsi="黑体" w:eastAsia="黑体" w:cs="黑体"/>
          <w:color w:val="auto"/>
          <w:sz w:val="36"/>
          <w:szCs w:val="44"/>
        </w:rPr>
        <w:t>三、常见问题及回答</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ascii="Microsoft YaHei UI" w:hAnsi="Microsoft YaHei UI" w:eastAsia="Microsoft YaHei UI" w:cs="Microsoft YaHei UI"/>
          <w:color w:val="auto"/>
          <w:spacing w:val="8"/>
          <w:kern w:val="0"/>
          <w:sz w:val="25"/>
          <w:szCs w:val="25"/>
          <w:highlight w:val="none"/>
          <w:shd w:val="clear" w:color="auto" w:fill="FFFFFF"/>
          <w:lang w:bidi="ar"/>
        </w:rPr>
        <w:t>关于确定政府采购合同当事人存在的问题。</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lang w:eastAsia="zh-CN"/>
        </w:rPr>
        <w:t>政府采购</w:t>
      </w:r>
      <w:r>
        <w:rPr>
          <w:rFonts w:ascii="Times New Roman" w:hAnsi="宋体"/>
          <w:color w:val="auto"/>
          <w:kern w:val="2"/>
        </w:rPr>
        <w:t>合同当事人是指</w:t>
      </w:r>
      <w:r>
        <w:rPr>
          <w:rFonts w:hint="eastAsia" w:ascii="Times New Roman" w:hAnsi="宋体"/>
          <w:color w:val="auto"/>
          <w:kern w:val="2"/>
          <w:lang w:eastAsia="zh-CN"/>
        </w:rPr>
        <w:t>采购人和中标供应商。政府采购代理机构仅作为见证方，确认政府采购合同是否根据采购文件、响应文件的内容签订。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签订政府采购货物合同须注意哪些条款？</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政府采购合同是政府采购活动顺利结束的产物，其中政府采购的货物类合同，是由供应商将合同标的物交付给采购人，同时将该标的物所有权转移给采购人，采购人受领该标的物并支付价金的合同。</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从合同性质看，一方面，政府采购货物合同是以供应商出卖财产所有权、采购人支付价款的有偿合同，另一方面，这种合同供应商和采购人应该意思表示一致，财产上的给付必须以原因的存在为前提，双方要互尽一定义务且具有更多自由权利的合同，属于我国《民法典》所规定的“买卖合同”范畴。作为政府采购的当事人，在签订政府采购货物合同时应当审慎考虑合同的有关要素，以此强化合同的基础。</w:t>
      </w:r>
    </w:p>
    <w:p>
      <w:pPr>
        <w:pStyle w:val="13"/>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82" w:firstLineChars="200"/>
        <w:textAlignment w:val="auto"/>
        <w:rPr>
          <w:rFonts w:ascii="Times New Roman" w:hAnsi="宋体"/>
          <w:b/>
          <w:bCs/>
          <w:color w:val="auto"/>
          <w:kern w:val="2"/>
        </w:rPr>
      </w:pPr>
      <w:r>
        <w:rPr>
          <w:rFonts w:hint="eastAsia" w:ascii="Times New Roman" w:hAnsi="宋体"/>
          <w:b/>
          <w:bCs/>
          <w:color w:val="auto"/>
          <w:kern w:val="2"/>
        </w:rPr>
        <w:t>所有权转移条款</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政府采购货物从供应商转移到采购人，就是所有权的转移。简单地讲所有权是指采购人在法律规定的范围内对该货物享有占有、使用、收益和处分的权利，这项权利具有绝对性、排他性，并以货物为客体、对货物享有支配权。</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在订立服务器采购合同时，并非只有服务器这个硬件货物的所有权转移，还包括该服务器操作系统等软件产品的转移。另外，在订立软件采购合同时，由于软件货物受技术进步等社会因素的影响，在转移其所有权后的一定时限内不需要作任何升级维护，但超过一定的期限就需要对货物进行升级更新，供应商应该在国家政策范围内，在质量保证期内，对该软件货物进行无条件进行维护，督促供应商履行义务；如果超过质量保证期，则双方应该在合同中明确有关后续维保事宜的条款。</w:t>
      </w:r>
    </w:p>
    <w:p>
      <w:pPr>
        <w:pStyle w:val="13"/>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82" w:firstLineChars="200"/>
        <w:textAlignment w:val="auto"/>
        <w:rPr>
          <w:rFonts w:hint="eastAsia" w:ascii="Times New Roman" w:hAnsi="宋体"/>
          <w:b/>
          <w:bCs/>
          <w:color w:val="auto"/>
          <w:kern w:val="2"/>
        </w:rPr>
      </w:pPr>
      <w:r>
        <w:rPr>
          <w:rFonts w:hint="eastAsia" w:ascii="Times New Roman" w:hAnsi="宋体"/>
          <w:b/>
          <w:bCs/>
          <w:color w:val="auto"/>
          <w:kern w:val="2"/>
        </w:rPr>
        <w:t>货物交付条款</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供应商按照合同约定向采购人交付货物，这是政府采购货物合同的最重要目的。根据我国法律规定，供应商交付货物可分为现实交付和拟制交付两种方式。</w:t>
      </w:r>
    </w:p>
    <w:p>
      <w:pPr>
        <w:pStyle w:val="13"/>
        <w:widowControl/>
        <w:spacing w:before="0" w:beforeAutospacing="0" w:after="0" w:afterAutospacing="0" w:line="360" w:lineRule="auto"/>
        <w:ind w:firstLine="480" w:firstLineChars="200"/>
        <w:rPr>
          <w:rFonts w:hint="default" w:ascii="Times New Roman" w:hAnsi="宋体" w:eastAsiaTheme="minorEastAsia"/>
          <w:color w:val="auto"/>
          <w:kern w:val="2"/>
          <w:lang w:val="en-US" w:eastAsia="zh-CN"/>
        </w:rPr>
      </w:pPr>
      <w:r>
        <w:rPr>
          <w:rFonts w:hint="eastAsia" w:ascii="Times New Roman" w:hAnsi="宋体"/>
          <w:color w:val="auto"/>
          <w:kern w:val="2"/>
          <w:lang w:val="en-US" w:eastAsia="zh-CN"/>
        </w:rPr>
        <w:t>现在一般均采用现实交付。</w:t>
      </w:r>
      <w:r>
        <w:rPr>
          <w:rFonts w:hint="eastAsia" w:ascii="Times New Roman" w:hAnsi="宋体"/>
          <w:color w:val="auto"/>
          <w:kern w:val="2"/>
        </w:rPr>
        <w:t>交付期限、交付地点和交付方式由供应商和采购人在订立合同时约定，这是货物采购合同非常重要而且需要细致地写清楚的条款。</w:t>
      </w:r>
    </w:p>
    <w:p>
      <w:pPr>
        <w:pStyle w:val="13"/>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82" w:firstLineChars="200"/>
        <w:textAlignment w:val="auto"/>
        <w:rPr>
          <w:rFonts w:hint="eastAsia" w:ascii="Times New Roman" w:hAnsi="宋体"/>
          <w:b/>
          <w:bCs/>
          <w:color w:val="auto"/>
          <w:kern w:val="2"/>
        </w:rPr>
      </w:pPr>
      <w:r>
        <w:rPr>
          <w:rFonts w:hint="eastAsia" w:ascii="Times New Roman" w:hAnsi="宋体"/>
          <w:b/>
          <w:bCs/>
          <w:color w:val="auto"/>
          <w:kern w:val="2"/>
        </w:rPr>
        <w:t>瑕疵担保责任条款</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供应商向采购人交付货物时负有对其所转移的财产承担权利瑕疵和货物瑕疵的担保责任。</w:t>
      </w:r>
    </w:p>
    <w:p>
      <w:pPr>
        <w:pStyle w:val="13"/>
        <w:widowControl/>
        <w:spacing w:before="0" w:beforeAutospacing="0" w:after="0" w:afterAutospacing="0" w:line="360" w:lineRule="auto"/>
        <w:ind w:firstLine="480" w:firstLineChars="200"/>
        <w:rPr>
          <w:rFonts w:hint="eastAsia" w:ascii="Times New Roman" w:hAnsi="宋体"/>
          <w:color w:val="auto"/>
          <w:kern w:val="2"/>
        </w:rPr>
      </w:pPr>
      <w:r>
        <w:rPr>
          <w:rFonts w:hint="eastAsia" w:ascii="Times New Roman" w:hAnsi="宋体"/>
          <w:color w:val="auto"/>
          <w:kern w:val="2"/>
        </w:rPr>
        <w:t>一是货物权利瑕疵的责任担保。供应商向采购人交付的货物应承诺该货物不受其他人追夺和不存在没有被告知的权利负担的义务。在订立政府采购货物合同时，要</w:t>
      </w:r>
      <w:r>
        <w:rPr>
          <w:rFonts w:hint="eastAsia" w:ascii="Times New Roman" w:hAnsi="宋体"/>
          <w:color w:val="auto"/>
          <w:kern w:val="2"/>
          <w:lang w:eastAsia="zh-CN"/>
        </w:rPr>
        <w:t>明确</w:t>
      </w:r>
      <w:r>
        <w:rPr>
          <w:rFonts w:hint="eastAsia" w:ascii="Times New Roman" w:hAnsi="宋体"/>
          <w:color w:val="auto"/>
          <w:kern w:val="2"/>
        </w:rPr>
        <w:t>所供货物一定是由生产厂家生产并获得市场准入的</w:t>
      </w:r>
      <w:r>
        <w:rPr>
          <w:rFonts w:hint="eastAsia" w:ascii="Times New Roman" w:hAnsi="宋体"/>
          <w:color w:val="auto"/>
          <w:kern w:val="2"/>
          <w:lang w:eastAsia="zh-CN"/>
        </w:rPr>
        <w:t>全新</w:t>
      </w:r>
      <w:r>
        <w:rPr>
          <w:rFonts w:hint="eastAsia" w:ascii="Times New Roman" w:hAnsi="宋体"/>
          <w:color w:val="auto"/>
          <w:kern w:val="2"/>
        </w:rPr>
        <w:t>正规产品。</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二是货物本身的瑕疵担保。货物本身的瑕疵担保是指供应商对其所提供的货物保证其符合约定的品质。换句话，供应商将货物移转给采购人后，不存在品质或使用价值的降低。货物本身的瑕疵分为表面瑕疵和隐蔽瑕疵两个方面：一方面，在接受货物时，通过肉眼观察或者凭生活经验即能发现的瑕疵，如采购的电视机开机没有图像、电脑不能开机、打印机不能打印等。另一方面，在接收货物时，由于瑕疵存在于货物的内部，需要通过专门测试检验才能发现货物的瑕疵，如合同约定为电脑为独立显卡，而交付的是集成显卡，只有专业人员通过开机测试后才能发现。对于以上瑕疵，双方应在合同中应明确无偿更换、修理条款。同时，在合同中应当确定货物的瑕疵标准，一般以国家质量标准或者行业标准，无国家质量标准或行业标准的，则要以通常标准或者符合采购需求的特定标准。</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三是因瑕疵而使合同解除。在订立合同时应该写明：如果主要货物存在瑕疵需解除合同，其效力及于从物（附件）；如果从物有瑕疵但不及主物使用的，则合同解除效力不及主物；如果交付货物为数物的其中一物有瑕疵，采购人只能就有瑕疵的部分解除合同；如果是分批交付货物的某批货物存在瑕疵，采购人只能就该批货物解除合同，但如果各批交付的货物是互有联系的，采购人则可以就该批以及以后各批货物解除合同。对于不存在任何瑕疵的货物交付，采购人在受领货物后应该依照合同约定的价金数额、给付期限、地点和方式给付价金。</w:t>
      </w:r>
    </w:p>
    <w:p>
      <w:pPr>
        <w:pStyle w:val="13"/>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82" w:firstLineChars="200"/>
        <w:textAlignment w:val="auto"/>
        <w:rPr>
          <w:rFonts w:hint="eastAsia" w:ascii="Times New Roman" w:hAnsi="宋体"/>
          <w:b/>
          <w:bCs/>
          <w:color w:val="auto"/>
          <w:kern w:val="2"/>
        </w:rPr>
      </w:pPr>
      <w:r>
        <w:rPr>
          <w:rFonts w:hint="eastAsia" w:ascii="Times New Roman" w:hAnsi="宋体"/>
          <w:b/>
          <w:bCs/>
          <w:color w:val="auto"/>
          <w:kern w:val="2"/>
        </w:rPr>
        <w:t>风险承担条款</w:t>
      </w:r>
    </w:p>
    <w:p>
      <w:pPr>
        <w:pStyle w:val="13"/>
        <w:widowControl/>
        <w:spacing w:before="0" w:beforeAutospacing="0" w:after="0" w:afterAutospacing="0" w:line="360" w:lineRule="auto"/>
        <w:ind w:firstLine="480" w:firstLineChars="200"/>
        <w:rPr>
          <w:rStyle w:val="18"/>
          <w:rFonts w:ascii="Microsoft YaHei UI" w:hAnsi="Microsoft YaHei UI" w:eastAsia="Microsoft YaHei UI" w:cs="Microsoft YaHei UI"/>
          <w:color w:val="auto"/>
          <w:spacing w:val="8"/>
          <w:sz w:val="25"/>
          <w:szCs w:val="25"/>
          <w:highlight w:val="yellow"/>
          <w:shd w:val="clear" w:color="auto" w:fill="FFFFFF"/>
        </w:rPr>
      </w:pPr>
      <w:r>
        <w:rPr>
          <w:rFonts w:hint="eastAsia" w:ascii="Times New Roman" w:hAnsi="宋体"/>
          <w:color w:val="auto"/>
          <w:kern w:val="2"/>
        </w:rPr>
        <w:t>我国《民法典》对于各种不同的交付方式可能产生的风险规定其风险承担原则是：（1）买受人亲自提取标的物的，出卖人将标的物置于约定或法定地点时起，风险由买受人承担。（2）出卖人出卖交由承运人运输的在途标的物，除当事人另有约定外，自合同成立时起，在途风险由买受人承担。出卖人在合同成立时知道或者应当知道标的物已经毁损、灭失却未告知买受人的，由出卖人负担风险。（3）对于需要运输的标的物，没有约定交付地点或约定不明确的，自出卖人将标的物交付给第一承运人起，风险由买受人承担。“标的物需要运输的”是指标的物由出卖人负责办理托运，承运人系独立于买卖合同当事人之外的运输业者的情形。（4）买受人受领迟延的，自迟延成立时起由买受人负担标的物风险。（5）出卖人按照约定未交付有关标的物的单证和资料的，不影响风险的转移。（6）因标的物质量不符合要求致使不能实现合同目的，买受人拒绝接受标的物或者解除合同的，风险由出卖人承担。（7）风险由买受人承担的，不影响因出卖人违约、买受人要求其承担违约责任的权利。（8）当事人对风险负担没有约定，标的物为种类物，出卖人未以装运单据、加盖标记、通知买受人等可识别的方式清楚地将标的物特定于买卖合同，买受人不负担风险。</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合同备案</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政府采购法实施条例》第六十七条规定，采购人有下列情形之一的，由财政部门责令限期改正，给予警告，对直接负责的主管人员和其他直接责任人员依法给予处分，并予以通报：（八）未按照规定时间将政府采购合同副本报本级人民政府财政部门和有关部门备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履约保证金制度</w:t>
      </w:r>
    </w:p>
    <w:p>
      <w:pPr>
        <w:pStyle w:val="13"/>
        <w:widowControl/>
        <w:spacing w:before="0" w:beforeAutospacing="0" w:after="0" w:afterAutospacing="0" w:line="360" w:lineRule="auto"/>
        <w:ind w:firstLine="480" w:firstLineChars="200"/>
        <w:rPr>
          <w:rFonts w:hint="eastAsia" w:ascii="Times New Roman" w:hAnsi="宋体"/>
          <w:color w:val="auto"/>
          <w:kern w:val="2"/>
        </w:rPr>
      </w:pPr>
      <w:r>
        <w:rPr>
          <w:rFonts w:hint="eastAsia" w:ascii="Times New Roman" w:hAnsi="宋体"/>
          <w:color w:val="auto"/>
          <w:kern w:val="2"/>
          <w:lang w:val="en-US" w:eastAsia="zh-CN"/>
        </w:rPr>
        <w:t>浙财采监【2022】8号文件：</w:t>
      </w:r>
      <w:r>
        <w:rPr>
          <w:rFonts w:hint="eastAsia" w:ascii="Times New Roman" w:hAnsi="宋体"/>
          <w:color w:val="auto"/>
          <w:kern w:val="2"/>
        </w:rPr>
        <w:t>鼓励采购单位免收履约保证金，政府采购货物和服务项目确需收取履约保证金的，最高比例由不超过合同金额的2.5%调整为不超过合同金额的1%。</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政府采购合同要 “追加采购”，应该注意什么？</w:t>
      </w:r>
    </w:p>
    <w:p>
      <w:pPr>
        <w:pStyle w:val="13"/>
        <w:widowControl/>
        <w:spacing w:before="0" w:beforeAutospacing="0" w:after="0" w:afterAutospacing="0" w:line="360" w:lineRule="auto"/>
        <w:ind w:firstLine="480" w:firstLineChars="200"/>
        <w:rPr>
          <w:rFonts w:ascii="Times New Roman" w:hAnsi="宋体"/>
          <w:kern w:val="2"/>
        </w:rPr>
      </w:pPr>
      <w:r>
        <w:rPr>
          <w:rFonts w:hint="eastAsia" w:ascii="Times New Roman" w:hAnsi="宋体"/>
          <w:kern w:val="2"/>
        </w:rPr>
        <w:t>《政府采购法》第四十九条规定：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3"/>
        <w:widowControl/>
        <w:spacing w:before="0" w:beforeAutospacing="0" w:after="0" w:afterAutospacing="0" w:line="360" w:lineRule="auto"/>
        <w:ind w:firstLine="480" w:firstLineChars="200"/>
        <w:rPr>
          <w:rFonts w:ascii="Times New Roman" w:hAnsi="宋体"/>
          <w:kern w:val="2"/>
        </w:rPr>
      </w:pPr>
      <w:r>
        <w:rPr>
          <w:rFonts w:hint="eastAsia" w:ascii="Times New Roman" w:hAnsi="宋体"/>
          <w:kern w:val="2"/>
        </w:rPr>
        <w:t>进行追加采购，必须要把握五个要点：</w:t>
      </w:r>
    </w:p>
    <w:p>
      <w:pPr>
        <w:pStyle w:val="13"/>
        <w:widowControl/>
        <w:spacing w:before="0" w:beforeAutospacing="0" w:after="0" w:afterAutospacing="0" w:line="360" w:lineRule="auto"/>
        <w:ind w:firstLine="482" w:firstLineChars="200"/>
        <w:rPr>
          <w:rFonts w:ascii="Times New Roman" w:hAnsi="宋体"/>
          <w:b/>
          <w:bCs/>
          <w:kern w:val="2"/>
        </w:rPr>
      </w:pPr>
      <w:r>
        <w:rPr>
          <w:rFonts w:hint="eastAsia" w:ascii="Times New Roman" w:hAnsi="宋体"/>
          <w:b/>
          <w:bCs/>
          <w:kern w:val="2"/>
        </w:rPr>
        <w:t>1.追加采购应当发生在合同履行过程中</w:t>
      </w:r>
    </w:p>
    <w:p>
      <w:pPr>
        <w:pStyle w:val="13"/>
        <w:widowControl/>
        <w:spacing w:before="0" w:beforeAutospacing="0" w:after="0" w:afterAutospacing="0" w:line="360" w:lineRule="auto"/>
        <w:ind w:firstLine="482" w:firstLineChars="200"/>
        <w:rPr>
          <w:rFonts w:ascii="Times New Roman" w:hAnsi="宋体"/>
          <w:b/>
          <w:bCs/>
          <w:kern w:val="2"/>
        </w:rPr>
      </w:pPr>
      <w:r>
        <w:rPr>
          <w:rFonts w:hint="eastAsia" w:ascii="Times New Roman" w:hAnsi="宋体"/>
          <w:b/>
          <w:bCs/>
          <w:kern w:val="2"/>
        </w:rPr>
        <w:t>2.需追加采购的标的</w:t>
      </w:r>
      <w:r>
        <w:rPr>
          <w:rFonts w:hint="eastAsia" w:ascii="Times New Roman" w:hAnsi="宋体"/>
          <w:b/>
          <w:bCs/>
          <w:kern w:val="2"/>
          <w:lang w:eastAsia="zh-CN"/>
        </w:rPr>
        <w:t>和单价</w:t>
      </w:r>
      <w:r>
        <w:rPr>
          <w:rFonts w:hint="eastAsia" w:ascii="Times New Roman" w:hAnsi="宋体"/>
          <w:b/>
          <w:bCs/>
          <w:kern w:val="2"/>
        </w:rPr>
        <w:t>要与原合同标的</w:t>
      </w:r>
      <w:r>
        <w:rPr>
          <w:rFonts w:hint="eastAsia" w:ascii="Times New Roman" w:hAnsi="宋体"/>
          <w:b/>
          <w:bCs/>
          <w:kern w:val="2"/>
          <w:lang w:eastAsia="zh-CN"/>
        </w:rPr>
        <w:t>和单价</w:t>
      </w:r>
      <w:r>
        <w:rPr>
          <w:rFonts w:hint="eastAsia" w:ascii="Times New Roman" w:hAnsi="宋体"/>
          <w:b/>
          <w:bCs/>
          <w:kern w:val="2"/>
        </w:rPr>
        <w:t>相同</w:t>
      </w:r>
    </w:p>
    <w:p>
      <w:pPr>
        <w:pStyle w:val="13"/>
        <w:widowControl/>
        <w:spacing w:before="0" w:beforeAutospacing="0" w:after="0" w:afterAutospacing="0" w:line="360" w:lineRule="auto"/>
        <w:ind w:firstLine="482" w:firstLineChars="200"/>
        <w:rPr>
          <w:rFonts w:ascii="Times New Roman" w:hAnsi="宋体"/>
          <w:b/>
          <w:bCs/>
          <w:kern w:val="2"/>
        </w:rPr>
      </w:pPr>
      <w:r>
        <w:rPr>
          <w:rFonts w:hint="eastAsia" w:ascii="Times New Roman" w:hAnsi="宋体"/>
          <w:b/>
          <w:bCs/>
          <w:kern w:val="2"/>
        </w:rPr>
        <w:t>3.追加采购产生的变更需要签署补充合同</w:t>
      </w:r>
    </w:p>
    <w:p>
      <w:pPr>
        <w:pStyle w:val="13"/>
        <w:widowControl/>
        <w:spacing w:before="0" w:beforeAutospacing="0" w:after="0" w:afterAutospacing="0" w:line="360" w:lineRule="auto"/>
        <w:ind w:firstLine="482" w:firstLineChars="200"/>
        <w:rPr>
          <w:rFonts w:ascii="Times New Roman" w:hAnsi="宋体"/>
          <w:b/>
          <w:bCs/>
          <w:kern w:val="2"/>
        </w:rPr>
      </w:pPr>
      <w:r>
        <w:rPr>
          <w:rFonts w:hint="eastAsia" w:ascii="Times New Roman" w:hAnsi="宋体"/>
          <w:b/>
          <w:bCs/>
          <w:kern w:val="2"/>
        </w:rPr>
        <w:t>4.不得改变合同的其他条款</w:t>
      </w:r>
    </w:p>
    <w:p>
      <w:pPr>
        <w:pStyle w:val="13"/>
        <w:widowControl/>
        <w:spacing w:before="0" w:beforeAutospacing="0" w:after="0" w:afterAutospacing="0" w:line="360" w:lineRule="auto"/>
        <w:ind w:firstLine="482" w:firstLineChars="200"/>
        <w:rPr>
          <w:rStyle w:val="18"/>
          <w:rFonts w:hint="default" w:ascii="Microsoft YaHei UI" w:hAnsi="Microsoft YaHei UI" w:cs="Microsoft YaHei UI" w:eastAsiaTheme="minorEastAsia"/>
          <w:color w:val="auto"/>
          <w:spacing w:val="8"/>
          <w:kern w:val="0"/>
          <w:sz w:val="25"/>
          <w:szCs w:val="25"/>
          <w:highlight w:val="none"/>
          <w:shd w:val="clear" w:color="auto" w:fill="FFFFFF"/>
          <w:lang w:val="en-US" w:eastAsia="zh-CN" w:bidi="ar"/>
        </w:rPr>
      </w:pPr>
      <w:r>
        <w:rPr>
          <w:rFonts w:hint="eastAsia" w:ascii="Times New Roman" w:hAnsi="宋体"/>
          <w:b/>
          <w:bCs/>
          <w:kern w:val="2"/>
        </w:rPr>
        <w:t>5.所有补充合同的采购金额不得超过原合同采购金额的百分之十</w:t>
      </w:r>
      <w:r>
        <w:rPr>
          <w:rFonts w:hint="eastAsia" w:ascii="Times New Roman" w:hAnsi="宋体"/>
          <w:b/>
          <w:bCs/>
          <w:kern w:val="2"/>
          <w:lang w:eastAsia="zh-CN"/>
        </w:rPr>
        <w:t>，且不得超过政府采购限额标准。限额标准以下，原合同金额</w:t>
      </w:r>
      <w:r>
        <w:rPr>
          <w:rFonts w:hint="eastAsia" w:ascii="Times New Roman" w:hAnsi="宋体"/>
          <w:b/>
          <w:bCs/>
          <w:kern w:val="2"/>
          <w:lang w:val="en-US" w:eastAsia="zh-CN"/>
        </w:rPr>
        <w:t>10%</w:t>
      </w:r>
      <w:r>
        <w:rPr>
          <w:rFonts w:hint="eastAsia" w:ascii="Times New Roman" w:hAnsi="宋体"/>
          <w:b/>
          <w:bCs/>
          <w:kern w:val="2"/>
          <w:lang w:eastAsia="zh-CN"/>
        </w:rPr>
        <w:t>以下通过单一来源方式采购，超过</w:t>
      </w:r>
      <w:r>
        <w:rPr>
          <w:rFonts w:hint="eastAsia" w:ascii="Times New Roman" w:hAnsi="宋体"/>
          <w:b/>
          <w:bCs/>
          <w:kern w:val="2"/>
          <w:lang w:val="en-US" w:eastAsia="zh-CN"/>
        </w:rPr>
        <w:t>10%按新项目采购。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供应商可以拒绝采购人追加</w:t>
      </w:r>
      <w:r>
        <w:rPr>
          <w:rStyle w:val="18"/>
          <w:rFonts w:hint="eastAsia" w:ascii="Microsoft YaHei UI" w:hAnsi="Microsoft YaHei UI" w:eastAsia="Microsoft YaHei UI" w:cs="Microsoft YaHei UI"/>
          <w:color w:val="auto"/>
          <w:spacing w:val="8"/>
          <w:kern w:val="0"/>
          <w:sz w:val="25"/>
          <w:szCs w:val="25"/>
          <w:highlight w:val="none"/>
          <w:shd w:val="clear" w:color="auto" w:fill="FFFFFF"/>
          <w:lang w:eastAsia="zh-CN" w:bidi="ar"/>
        </w:rPr>
        <w:t>采购</w:t>
      </w: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的要求吗？</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lang w:eastAsia="zh-CN"/>
        </w:rPr>
        <w:t>一是双方协商解决；二看合同和</w:t>
      </w:r>
      <w:r>
        <w:rPr>
          <w:rFonts w:hint="eastAsia" w:ascii="Times New Roman" w:hAnsi="宋体"/>
          <w:color w:val="auto"/>
          <w:kern w:val="2"/>
        </w:rPr>
        <w:t>采购文件</w:t>
      </w:r>
      <w:r>
        <w:rPr>
          <w:rFonts w:hint="eastAsia" w:ascii="Times New Roman" w:hAnsi="宋体"/>
          <w:color w:val="auto"/>
          <w:kern w:val="2"/>
          <w:lang w:eastAsia="zh-CN"/>
        </w:rPr>
        <w:t>中是否约定，若无相应条款，供应商可以拒绝。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招标文件可以授权采购人变更合同吗？</w:t>
      </w:r>
    </w:p>
    <w:p>
      <w:pPr>
        <w:pStyle w:val="13"/>
        <w:widowControl/>
        <w:spacing w:before="0" w:beforeAutospacing="0" w:after="0" w:afterAutospacing="0" w:line="360" w:lineRule="auto"/>
        <w:ind w:firstLine="480" w:firstLineChars="200"/>
        <w:rPr>
          <w:rFonts w:hint="eastAsia" w:ascii="Times New Roman" w:hAnsi="宋体" w:eastAsiaTheme="minorEastAsia"/>
          <w:color w:val="auto"/>
          <w:kern w:val="2"/>
          <w:lang w:eastAsia="zh-CN"/>
        </w:rPr>
      </w:pPr>
      <w:r>
        <w:rPr>
          <w:rFonts w:hint="eastAsia" w:ascii="Times New Roman" w:hAnsi="宋体"/>
          <w:color w:val="auto"/>
          <w:kern w:val="2"/>
        </w:rPr>
        <w:t>政府采购合同的双方当事人不得擅自变更合同，是《政府采购法》的强制性规定，在编制招标文件时，也不得违反上述强制性规定，即采购人与中标人应当按照采购文件确定的事项签订政府采购合同</w:t>
      </w:r>
      <w:r>
        <w:rPr>
          <w:rFonts w:hint="eastAsia" w:ascii="Times New Roman" w:hAnsi="宋体"/>
          <w:color w:val="auto"/>
          <w:kern w:val="2"/>
          <w:lang w:eastAsia="zh-CN"/>
        </w:rPr>
        <w:t>。</w:t>
      </w:r>
    </w:p>
    <w:p>
      <w:pPr>
        <w:pStyle w:val="13"/>
        <w:widowControl/>
        <w:spacing w:before="0" w:beforeAutospacing="0" w:after="0" w:afterAutospacing="0" w:line="360" w:lineRule="auto"/>
        <w:ind w:firstLine="480" w:firstLineChars="200"/>
        <w:rPr>
          <w:rFonts w:hint="eastAsia" w:ascii="Times New Roman" w:hAnsi="宋体"/>
          <w:color w:val="auto"/>
          <w:kern w:val="2"/>
        </w:rPr>
      </w:pPr>
      <w:r>
        <w:rPr>
          <w:rFonts w:hint="eastAsia" w:ascii="Times New Roman" w:hAnsi="宋体"/>
          <w:color w:val="auto"/>
          <w:kern w:val="2"/>
          <w:lang w:val="en-US" w:eastAsia="zh-CN"/>
        </w:rPr>
        <w:t xml:space="preserve">根据《中华人民共和国政府采购法》第五十条 </w:t>
      </w:r>
      <w:r>
        <w:rPr>
          <w:rFonts w:hint="eastAsia" w:ascii="Times New Roman" w:hAnsi="宋体"/>
          <w:color w:val="auto"/>
          <w:kern w:val="2"/>
        </w:rPr>
        <w:t>政府采购合同的双方当事人不得擅自变更、中止或者终止合同。 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签订合同前，采购人要求中标人先</w:t>
      </w:r>
      <w:r>
        <w:rPr>
          <w:rStyle w:val="18"/>
          <w:rFonts w:hint="eastAsia" w:ascii="Microsoft YaHei UI" w:hAnsi="Microsoft YaHei UI" w:eastAsia="Microsoft YaHei UI" w:cs="Microsoft YaHei UI"/>
          <w:color w:val="auto"/>
          <w:spacing w:val="8"/>
          <w:kern w:val="0"/>
          <w:sz w:val="25"/>
          <w:szCs w:val="25"/>
          <w:highlight w:val="none"/>
          <w:shd w:val="clear" w:color="auto" w:fill="FFFFFF"/>
          <w:lang w:val="en-US" w:eastAsia="zh-CN" w:bidi="ar"/>
        </w:rPr>
        <w:t>缴纳</w:t>
      </w: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履约保证金，合理吗？</w:t>
      </w:r>
    </w:p>
    <w:p>
      <w:pPr>
        <w:pStyle w:val="13"/>
        <w:widowControl/>
        <w:spacing w:before="0" w:beforeAutospacing="0" w:after="0" w:afterAutospacing="0" w:line="360" w:lineRule="auto"/>
        <w:ind w:firstLine="480" w:firstLineChars="200"/>
        <w:rPr>
          <w:rFonts w:hint="default" w:ascii="Times New Roman" w:hAnsi="宋体" w:eastAsiaTheme="minorEastAsia"/>
          <w:color w:val="auto"/>
          <w:kern w:val="2"/>
          <w:lang w:val="en-US" w:eastAsia="zh-CN"/>
        </w:rPr>
      </w:pPr>
      <w:r>
        <w:rPr>
          <w:rFonts w:hint="eastAsia" w:ascii="Times New Roman" w:hAnsi="宋体"/>
          <w:color w:val="auto"/>
          <w:kern w:val="2"/>
          <w:lang w:val="en-US" w:eastAsia="zh-CN"/>
        </w:rPr>
        <w:t>采购人不得要求中标人先缴纳履约保证金作为合同履约或合同生效的必要条件，但可以在合同中约定相关违约条款。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签合同时中标产品已停产，可以用新型号替代吗？</w:t>
      </w:r>
    </w:p>
    <w:p>
      <w:pPr>
        <w:pStyle w:val="13"/>
        <w:widowControl/>
        <w:spacing w:before="0" w:beforeAutospacing="0" w:after="0" w:afterAutospacing="0" w:line="360" w:lineRule="auto"/>
        <w:ind w:firstLine="480" w:firstLineChars="200"/>
        <w:rPr>
          <w:rStyle w:val="18"/>
          <w:rFonts w:ascii="Microsoft YaHei UI" w:hAnsi="Microsoft YaHei UI" w:eastAsia="Microsoft YaHei UI" w:cs="Microsoft YaHei UI"/>
          <w:color w:val="auto"/>
          <w:spacing w:val="8"/>
          <w:sz w:val="22"/>
          <w:szCs w:val="22"/>
          <w:shd w:val="clear" w:color="auto" w:fill="EFEFEF"/>
        </w:rPr>
      </w:pPr>
      <w:r>
        <w:rPr>
          <w:rFonts w:hint="eastAsia" w:ascii="Times New Roman" w:hAnsi="宋体"/>
          <w:color w:val="auto"/>
          <w:kern w:val="2"/>
          <w:lang w:val="en-US" w:eastAsia="zh-CN"/>
        </w:rPr>
        <w:t>在投标文件有效期内，原则上不允许用新型号替代，如确实停产，应当终止合同，重新进行采购。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中标供应商以“生产厂商拒绝供货”不签合同，违法吗？</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由于不可抗力原因，供应商可以放弃中标资格，不与采购人签订合同。除此之外，供应商不得以其他任何理由，拒绝与采购人签订合同。在实践中，供应商往往以中标、成交价格太低导致其亏本，或者其授权的制造厂商拒绝供货等为由不签订合同。这些情形，均不应认定为正当理由</w:t>
      </w:r>
      <w:r>
        <w:rPr>
          <w:rFonts w:hint="eastAsia" w:ascii="Times New Roman" w:hAnsi="宋体"/>
          <w:color w:val="auto"/>
          <w:kern w:val="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中标合同是按照招标文件的范围签署，还是可以变更？政府采购项目保险招标，中标以后采购人的社区服务数量有所增加，中标合同是按照招标文件的范围签署，还是可以变更？</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中标合同按照招标文件的范围签署。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政府采购合同在签订时，双方可以再协商更改吗？</w:t>
      </w:r>
    </w:p>
    <w:p>
      <w:pPr>
        <w:pStyle w:val="13"/>
        <w:widowControl/>
        <w:spacing w:before="0" w:beforeAutospacing="0" w:after="0" w:afterAutospacing="0" w:line="360" w:lineRule="auto"/>
        <w:ind w:firstLine="480" w:firstLineChars="200"/>
        <w:rPr>
          <w:rFonts w:ascii="Microsoft YaHei UI" w:hAnsi="Microsoft YaHei UI" w:eastAsia="Microsoft YaHei UI" w:cs="Microsoft YaHei UI"/>
          <w:color w:val="auto"/>
          <w:spacing w:val="8"/>
        </w:rPr>
      </w:pPr>
      <w:r>
        <w:rPr>
          <w:rFonts w:hint="eastAsia" w:ascii="Times New Roman" w:hAnsi="宋体"/>
          <w:color w:val="auto"/>
          <w:kern w:val="2"/>
        </w:rPr>
        <w:t>不可以。采购人与中标</w:t>
      </w:r>
      <w:r>
        <w:rPr>
          <w:rFonts w:hint="eastAsia" w:ascii="Times New Roman" w:hAnsi="宋体"/>
          <w:color w:val="auto"/>
          <w:kern w:val="2"/>
          <w:lang w:eastAsia="zh-CN"/>
        </w:rPr>
        <w:t>、成交供应商</w:t>
      </w:r>
      <w:r>
        <w:rPr>
          <w:rFonts w:hint="eastAsia" w:ascii="Times New Roman" w:hAnsi="宋体"/>
          <w:color w:val="auto"/>
          <w:kern w:val="2"/>
        </w:rPr>
        <w:t>签订书面合同，依据的是</w:t>
      </w:r>
      <w:r>
        <w:rPr>
          <w:rFonts w:hint="eastAsia" w:ascii="Times New Roman" w:hAnsi="宋体"/>
          <w:color w:val="auto"/>
          <w:kern w:val="2"/>
          <w:lang w:eastAsia="zh-CN"/>
        </w:rPr>
        <w:t>采购</w:t>
      </w:r>
      <w:r>
        <w:rPr>
          <w:rFonts w:hint="eastAsia" w:ascii="Times New Roman" w:hAnsi="宋体"/>
          <w:color w:val="auto"/>
          <w:kern w:val="2"/>
        </w:rPr>
        <w:t>文件的规定和中标</w:t>
      </w:r>
      <w:r>
        <w:rPr>
          <w:rFonts w:hint="eastAsia" w:ascii="Times New Roman" w:hAnsi="宋体"/>
          <w:color w:val="auto"/>
          <w:kern w:val="2"/>
          <w:lang w:eastAsia="zh-CN"/>
        </w:rPr>
        <w:t>、成交供应商响应</w:t>
      </w:r>
      <w:r>
        <w:rPr>
          <w:rFonts w:hint="eastAsia" w:ascii="Times New Roman" w:hAnsi="宋体"/>
          <w:color w:val="auto"/>
          <w:kern w:val="2"/>
        </w:rPr>
        <w:t>文件。所签订的合同不得对</w:t>
      </w:r>
      <w:r>
        <w:rPr>
          <w:rFonts w:hint="eastAsia" w:ascii="Times New Roman" w:hAnsi="宋体"/>
          <w:color w:val="auto"/>
          <w:kern w:val="2"/>
          <w:lang w:eastAsia="zh-CN"/>
        </w:rPr>
        <w:t>采购</w:t>
      </w:r>
      <w:r>
        <w:rPr>
          <w:rFonts w:hint="eastAsia" w:ascii="Times New Roman" w:hAnsi="宋体"/>
          <w:color w:val="auto"/>
          <w:kern w:val="2"/>
        </w:rPr>
        <w:t>文件确定的事项和</w:t>
      </w:r>
      <w:r>
        <w:rPr>
          <w:rFonts w:hint="eastAsia" w:ascii="Times New Roman" w:hAnsi="宋体"/>
          <w:color w:val="auto"/>
          <w:kern w:val="2"/>
          <w:lang w:eastAsia="zh-CN"/>
        </w:rPr>
        <w:t>响应</w:t>
      </w:r>
      <w:r>
        <w:rPr>
          <w:rFonts w:hint="eastAsia" w:ascii="Times New Roman" w:hAnsi="宋体"/>
          <w:color w:val="auto"/>
          <w:kern w:val="2"/>
        </w:rPr>
        <w:t>文件作实质性修改。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中标供应商想终止合同，与采购人协商同意就不是“擅自终止”？</w:t>
      </w:r>
    </w:p>
    <w:p>
      <w:pPr>
        <w:pStyle w:val="13"/>
        <w:widowControl/>
        <w:spacing w:before="0" w:beforeAutospacing="0" w:after="0" w:afterAutospacing="0" w:line="360" w:lineRule="auto"/>
        <w:ind w:firstLine="480" w:firstLineChars="200"/>
        <w:rPr>
          <w:rFonts w:ascii="Microsoft YaHei UI" w:hAnsi="Microsoft YaHei UI" w:eastAsia="Microsoft YaHei UI" w:cs="Microsoft YaHei UI"/>
          <w:color w:val="auto"/>
          <w:spacing w:val="8"/>
        </w:rPr>
      </w:pPr>
      <w:r>
        <w:rPr>
          <w:rFonts w:hint="eastAsia" w:ascii="Times New Roman" w:hAnsi="宋体"/>
          <w:color w:val="auto"/>
          <w:kern w:val="2"/>
        </w:rPr>
        <w:t>答：中标供应商与采购人协商终止合同，即便采购人同意，双方都构成违法行为。双方当事人终止合同仅限于一种情况：继续履行将损害国家利益和社会公共利益，双方应及时汇报主管单位和本级财政部门。</w:t>
      </w:r>
    </w:p>
    <w:p>
      <w:pPr>
        <w:pStyle w:val="13"/>
        <w:widowControl/>
        <w:spacing w:before="0" w:beforeAutospacing="0" w:after="0" w:afterAutospacing="0"/>
        <w:ind w:firstLine="420"/>
        <w:jc w:val="both"/>
        <w:rPr>
          <w:rFonts w:ascii="Microsoft YaHei UI" w:hAnsi="Microsoft YaHei UI" w:eastAsia="Microsoft YaHei UI" w:cs="Microsoft YaHei UI"/>
          <w:color w:val="auto"/>
          <w:spacing w:val="8"/>
        </w:rPr>
      </w:pPr>
      <w:r>
        <w:rPr>
          <w:rStyle w:val="18"/>
          <w:rFonts w:hint="eastAsia" w:ascii="Microsoft YaHei UI" w:hAnsi="Microsoft YaHei UI" w:eastAsia="Microsoft YaHei UI" w:cs="Microsoft YaHei UI"/>
          <w:color w:val="auto"/>
          <w:spacing w:val="8"/>
          <w:shd w:val="clear" w:color="auto" w:fill="FFFFFF"/>
        </w:rPr>
        <w:t>法律依据</w:t>
      </w:r>
    </w:p>
    <w:p>
      <w:pPr>
        <w:pStyle w:val="13"/>
        <w:widowControl/>
        <w:spacing w:before="0" w:beforeAutospacing="0" w:after="0" w:afterAutospacing="0" w:line="360" w:lineRule="auto"/>
        <w:ind w:firstLine="480" w:firstLineChars="200"/>
        <w:rPr>
          <w:rFonts w:ascii="Microsoft YaHei UI" w:hAnsi="Microsoft YaHei UI" w:eastAsia="Microsoft YaHei UI" w:cs="Microsoft YaHei UI"/>
          <w:color w:val="auto"/>
          <w:spacing w:val="8"/>
        </w:rPr>
      </w:pPr>
      <w:r>
        <w:rPr>
          <w:rFonts w:hint="eastAsia" w:ascii="Times New Roman" w:hAnsi="宋体"/>
          <w:color w:val="auto"/>
          <w:kern w:val="2"/>
        </w:rPr>
        <w:t>《政府采购法》第五十条 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政府采购工程项目追加采购额可以超10%吗？合同履行过程中，在合同基础上，如果是合法合规的工程签证、设计变更、联系函等，其追加采购总金额可以超过合同额的10% 吗？</w:t>
      </w:r>
    </w:p>
    <w:p>
      <w:pPr>
        <w:pStyle w:val="13"/>
        <w:widowControl/>
        <w:spacing w:before="0" w:beforeAutospacing="0" w:after="0" w:afterAutospacing="0" w:line="360" w:lineRule="auto"/>
        <w:ind w:firstLine="480" w:firstLineChars="200"/>
        <w:rPr>
          <w:rFonts w:ascii="Microsoft YaHei UI" w:hAnsi="Microsoft YaHei UI" w:eastAsia="Microsoft YaHei UI" w:cs="Microsoft YaHei UI"/>
          <w:color w:val="auto"/>
          <w:spacing w:val="8"/>
        </w:rPr>
      </w:pPr>
      <w:r>
        <w:rPr>
          <w:rFonts w:hint="eastAsia" w:ascii="Times New Roman" w:hAnsi="宋体"/>
          <w:color w:val="auto"/>
          <w:kern w:val="2"/>
        </w:rPr>
        <w:t>答：</w:t>
      </w:r>
      <w:r>
        <w:rPr>
          <w:rFonts w:hint="eastAsia" w:ascii="Times New Roman" w:hAnsi="宋体"/>
          <w:color w:val="auto"/>
          <w:kern w:val="2"/>
          <w:lang w:eastAsia="zh-CN"/>
        </w:rPr>
        <w:t>都</w:t>
      </w:r>
      <w:r>
        <w:rPr>
          <w:rFonts w:hint="eastAsia" w:ascii="Times New Roman" w:hAnsi="宋体"/>
          <w:color w:val="auto"/>
          <w:kern w:val="2"/>
        </w:rPr>
        <w:t>不可以。追加采购超过原合同价10% 的，必须另行采购。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补充合同金额不超10%指原合同金额还是预算？政府采购服务项目预算500 万，最高限价500 万，中标金额450 万。补充合同金额不超原合同金额10%，是指不超450 万×10%=45 万吗？</w:t>
      </w:r>
    </w:p>
    <w:p>
      <w:pPr>
        <w:pStyle w:val="13"/>
        <w:widowControl/>
        <w:spacing w:before="0" w:beforeAutospacing="0" w:after="0" w:afterAutospacing="0" w:line="360" w:lineRule="auto"/>
        <w:ind w:firstLine="480" w:firstLineChars="200"/>
        <w:rPr>
          <w:rFonts w:hint="default" w:ascii="Microsoft YaHei UI" w:hAnsi="Microsoft YaHei UI" w:cs="Microsoft YaHei UI" w:eastAsiaTheme="minorEastAsia"/>
          <w:color w:val="auto"/>
          <w:spacing w:val="8"/>
          <w:lang w:val="en-US" w:eastAsia="zh-CN"/>
        </w:rPr>
      </w:pPr>
      <w:r>
        <w:rPr>
          <w:rFonts w:hint="eastAsia" w:ascii="Times New Roman" w:hAnsi="宋体"/>
          <w:color w:val="auto"/>
          <w:kern w:val="2"/>
        </w:rPr>
        <w:t>答：补充合同资金总额限定的是不超过原合同采购金额10%</w:t>
      </w:r>
      <w:r>
        <w:rPr>
          <w:rFonts w:hint="eastAsia" w:ascii="Times New Roman" w:hAnsi="宋体"/>
          <w:color w:val="auto"/>
          <w:kern w:val="2"/>
          <w:lang w:eastAsia="zh-CN"/>
        </w:rPr>
        <w:t>，非采购预算</w:t>
      </w:r>
      <w:r>
        <w:rPr>
          <w:rFonts w:hint="eastAsia" w:ascii="Times New Roman" w:hAnsi="宋体"/>
          <w:color w:val="auto"/>
          <w:kern w:val="2"/>
          <w:lang w:val="en-US" w:eastAsia="zh-CN"/>
        </w:rPr>
        <w:t>10%。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中标供应商因故不能履行合同，能否变更由第三方履约？</w:t>
      </w:r>
    </w:p>
    <w:p>
      <w:pPr>
        <w:pStyle w:val="13"/>
        <w:widowControl/>
        <w:spacing w:before="0" w:beforeAutospacing="0" w:after="0" w:afterAutospacing="0" w:line="360" w:lineRule="auto"/>
        <w:ind w:firstLine="480" w:firstLineChars="200"/>
        <w:rPr>
          <w:rFonts w:ascii="Microsoft YaHei UI" w:hAnsi="Microsoft YaHei UI" w:eastAsia="Microsoft YaHei UI" w:cs="Microsoft YaHei UI"/>
          <w:color w:val="auto"/>
          <w:spacing w:val="8"/>
        </w:rPr>
      </w:pPr>
      <w:r>
        <w:rPr>
          <w:rFonts w:hint="eastAsia" w:ascii="Times New Roman" w:hAnsi="宋体"/>
          <w:color w:val="auto"/>
          <w:kern w:val="2"/>
        </w:rPr>
        <w:t>答：不可以。中标通知书、政府采购合同具有法律效力，不得擅自变更。交由第三方履行属于将政府采购合同转包情形，可按照《政府采购法实施条例》第七十二条、《政府采购法》第七十七条第一款的规定追究法律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总公司中标了，可以委托当地的分公司履约吗？</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答：从法律意义上讲，分公司属于总公司的组成部门，所以总公司投的标，分公司履约合同通常情况下没有障碍。但招标文件有限制的，应按照遵守招标文件的规定。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招标文件能否规定在中标通知书发出后十日内签订书面合同？</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答：可以作这样的约定。法定签订合同的时限是“三十日内”，约定的“十日”在“三十日内”，并不违法。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政府采购合同什么情况下可以终止？</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政府采购法》第五十条对政府采购合同的变更、中止或者终止合同问题作出了特别规定。第五十条规定，政府采购合同的双方当事人不得擅自变更、中止或者终止合同。政府采购合同继续履行将损害国家利益和社会公共利益的，双方当事人应当变更、中止或者终止合同。</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有过错的一方应当承担赔偿责任，双方都有过错的，各自承担相应的责任。</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1）政府采购合同的双方当事人不得擅自变更、中止或者终止合同，这是政府采购合同变更、中止或者终止的基本原则。在政府采购合同履行中，如果没有出现继续履行合同将损害国家利益和社会公共利益的情况，采购人与中标、成交供应商双方即使协商一致，也不得变更、中止或者终止合同。</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（2）政府采购合同继续履行将损害国家利益和社会公共利益的，双方当事人应当变更、中止或者终止合同，这是采购人和供应商应当履行的法定义务。</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（3）有过错的一方应当承担赔偿责任，双方都有过错的，各自承担相应的责任。</w:t>
      </w:r>
    </w:p>
    <w:p>
      <w:pPr>
        <w:pStyle w:val="13"/>
        <w:widowControl/>
        <w:spacing w:before="0" w:beforeAutospacing="0" w:after="0" w:afterAutospacing="0" w:line="360" w:lineRule="auto"/>
        <w:ind w:firstLine="480" w:firstLineChars="200"/>
        <w:rPr>
          <w:rFonts w:ascii="Microsoft YaHei UI" w:hAnsi="Microsoft YaHei UI" w:eastAsia="Microsoft YaHei UI" w:cs="Microsoft YaHei UI"/>
          <w:color w:val="auto"/>
          <w:spacing w:val="8"/>
          <w:sz w:val="25"/>
          <w:szCs w:val="25"/>
        </w:rPr>
      </w:pPr>
      <w:r>
        <w:rPr>
          <w:rFonts w:hint="eastAsia" w:ascii="Times New Roman" w:hAnsi="宋体"/>
          <w:color w:val="auto"/>
          <w:kern w:val="2"/>
        </w:rPr>
        <w:t>终止合同后，采购人是否有权顺延确定中标或成交供应商？财政部国库司以《关于采购人是否有权顺延确定中标或成交供应商等问题的函》（财库便函〔2019〕154号）对哈尔滨市财政局《关于采购人是否有权顺延确定中标或成交供应商有关事项的请示》做了答复。该答复称，对于供应商履约验收不合格、双方解除合同的情况，应当按照合同法有关规定或者合同约定执行，原则上不得顺延确定中标或成交供应商。需要重新选定供应商的，应当重新开展采购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pPr>
      <w:r>
        <w:rPr>
          <w:rStyle w:val="18"/>
          <w:rFonts w:hint="eastAsia" w:ascii="Microsoft YaHei UI" w:hAnsi="Microsoft YaHei UI" w:eastAsia="Microsoft YaHei UI" w:cs="Microsoft YaHei UI"/>
          <w:color w:val="auto"/>
          <w:spacing w:val="8"/>
          <w:kern w:val="0"/>
          <w:sz w:val="25"/>
          <w:szCs w:val="25"/>
          <w:highlight w:val="none"/>
          <w:shd w:val="clear" w:color="auto" w:fill="FFFFFF"/>
          <w:lang w:bidi="ar"/>
        </w:rPr>
        <w:t>中标（成交）结果公告后，采购人可以马上与中标（成交）供应商签订采购合同吗？</w:t>
      </w:r>
    </w:p>
    <w:p>
      <w:pPr>
        <w:pStyle w:val="13"/>
        <w:widowControl/>
        <w:spacing w:before="0" w:beforeAutospacing="0" w:after="0" w:afterAutospacing="0" w:line="360" w:lineRule="auto"/>
        <w:ind w:firstLine="480" w:firstLineChars="200"/>
        <w:rPr>
          <w:rFonts w:ascii="Times New Roman" w:hAnsi="宋体"/>
          <w:color w:val="auto"/>
          <w:kern w:val="2"/>
        </w:rPr>
      </w:pPr>
      <w:r>
        <w:rPr>
          <w:rFonts w:hint="eastAsia" w:ascii="Times New Roman" w:hAnsi="宋体"/>
          <w:color w:val="auto"/>
          <w:kern w:val="2"/>
        </w:rPr>
        <w:t>答：《政府采购法》第四十六条规定：“采购人与中标、成交供应商应当在中标、成交通知书发出之日起三十日内，按照采购文件确定的事项签订政府采购合同。”因此，在中标（成交）公告发布后，采购人就可以与中标（成交）供应商签订合同。</w:t>
      </w:r>
    </w:p>
    <w:p>
      <w:pPr>
        <w:pStyle w:val="13"/>
        <w:widowControl/>
        <w:spacing w:before="0" w:beforeAutospacing="0" w:after="0" w:afterAutospacing="0" w:line="360" w:lineRule="auto"/>
        <w:ind w:firstLine="480" w:firstLineChars="200"/>
        <w:rPr>
          <w:rFonts w:hint="eastAsia" w:ascii="黑体" w:hAnsi="黑体" w:eastAsia="黑体" w:cs="黑体"/>
          <w:color w:val="auto"/>
          <w:sz w:val="36"/>
          <w:szCs w:val="44"/>
        </w:rPr>
      </w:pPr>
      <w:r>
        <w:rPr>
          <w:rFonts w:hint="eastAsia" w:ascii="Times New Roman" w:hAnsi="宋体"/>
          <w:color w:val="auto"/>
          <w:kern w:val="2"/>
        </w:rPr>
        <w:t>保险起见，采购人最好在质疑期限满后签订合同，或者在合同中注明“如遇采购结果变更，则合同自然失效”等条款以规避法律风险。</w:t>
      </w:r>
      <w:r>
        <w:rPr>
          <w:rFonts w:hint="eastAsia" w:ascii="黑体" w:hAnsi="黑体" w:eastAsia="黑体" w:cs="黑体"/>
          <w:color w:val="auto"/>
          <w:sz w:val="36"/>
          <w:szCs w:val="44"/>
        </w:rPr>
        <w:br w:type="page"/>
      </w:r>
    </w:p>
    <w:p>
      <w:pPr>
        <w:rPr>
          <w:rFonts w:ascii="黑体" w:hAnsi="黑体" w:eastAsia="黑体" w:cs="黑体"/>
          <w:color w:val="auto"/>
          <w:sz w:val="36"/>
          <w:szCs w:val="44"/>
        </w:rPr>
      </w:pPr>
      <w:r>
        <w:rPr>
          <w:rFonts w:hint="eastAsia" w:ascii="黑体" w:hAnsi="黑体" w:eastAsia="黑体" w:cs="黑体"/>
          <w:color w:val="auto"/>
          <w:sz w:val="36"/>
          <w:szCs w:val="44"/>
        </w:rPr>
        <w:t>四、合同模板</w:t>
      </w:r>
    </w:p>
    <w:p>
      <w:pPr>
        <w:spacing w:line="360" w:lineRule="auto"/>
        <w:rPr>
          <w:rFonts w:ascii="Arial" w:hAnsi="Arial" w:eastAsia="宋体" w:cs="Arial"/>
          <w:b/>
          <w:color w:val="auto"/>
          <w:kern w:val="0"/>
          <w:sz w:val="30"/>
          <w:szCs w:val="30"/>
          <w:lang w:bidi="ar"/>
        </w:rPr>
      </w:pPr>
      <w:r>
        <w:rPr>
          <w:rFonts w:hint="eastAsia" w:ascii="Arial" w:hAnsi="Arial" w:eastAsia="宋体" w:cs="Arial"/>
          <w:b/>
          <w:color w:val="auto"/>
          <w:kern w:val="0"/>
          <w:sz w:val="30"/>
          <w:szCs w:val="30"/>
          <w:lang w:bidi="ar"/>
        </w:rPr>
        <w:t>货物类合同模板：</w:t>
      </w: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（货物类）</w:t>
      </w:r>
    </w:p>
    <w:p>
      <w:pPr>
        <w:pStyle w:val="21"/>
        <w:ind w:left="0" w:leftChars="0" w:firstLine="0" w:firstLineChars="0"/>
        <w:rPr>
          <w:rFonts w:ascii="仿宋" w:hAnsi="仿宋" w:eastAsia="仿宋" w:cs="仿宋"/>
          <w:color w:val="auto"/>
          <w:szCs w:val="24"/>
        </w:rPr>
      </w:pPr>
    </w:p>
    <w:p>
      <w:pPr>
        <w:pStyle w:val="21"/>
        <w:rPr>
          <w:rFonts w:ascii="仿宋" w:hAnsi="仿宋" w:eastAsia="仿宋" w:cs="仿宋"/>
          <w:color w:val="auto"/>
          <w:szCs w:val="24"/>
        </w:rPr>
      </w:pPr>
    </w:p>
    <w:p>
      <w:pPr>
        <w:spacing w:before="120" w:line="360" w:lineRule="auto"/>
        <w:rPr>
          <w:rFonts w:ascii="仿宋" w:hAnsi="仿宋" w:eastAsia="仿宋" w:cs="仿宋"/>
          <w:color w:val="auto"/>
          <w:sz w:val="24"/>
        </w:rPr>
      </w:pPr>
    </w:p>
    <w:p>
      <w:pPr>
        <w:spacing w:before="120" w:line="360" w:lineRule="auto"/>
        <w:ind w:left="960" w:firstLine="720" w:firstLineChars="30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22"/>
        <w:spacing w:before="120"/>
        <w:rPr>
          <w:rFonts w:ascii="仿宋" w:hAnsi="仿宋" w:eastAsia="仿宋" w:cs="仿宋"/>
          <w:color w:val="auto"/>
          <w:szCs w:val="24"/>
        </w:rPr>
      </w:pPr>
    </w:p>
    <w:p>
      <w:pPr>
        <w:pStyle w:val="22"/>
        <w:spacing w:before="120"/>
        <w:rPr>
          <w:rFonts w:ascii="仿宋" w:hAnsi="仿宋" w:eastAsia="仿宋" w:cs="仿宋"/>
          <w:color w:val="auto"/>
          <w:szCs w:val="24"/>
        </w:rPr>
      </w:pPr>
    </w:p>
    <w:p>
      <w:pPr>
        <w:spacing w:line="360" w:lineRule="auto"/>
        <w:rPr>
          <w:rFonts w:ascii="仿宋" w:hAnsi="仿宋" w:eastAsia="仿宋" w:cs="仿宋"/>
          <w:color w:val="auto"/>
          <w:sz w:val="24"/>
        </w:rPr>
      </w:pPr>
    </w:p>
    <w:p>
      <w:pPr>
        <w:spacing w:before="120" w:line="480" w:lineRule="auto"/>
        <w:ind w:left="960" w:firstLine="720" w:firstLineChars="300"/>
        <w:rPr>
          <w:rFonts w:ascii="仿宋" w:hAnsi="仿宋" w:eastAsia="仿宋" w:cs="仿宋"/>
          <w:color w:val="auto"/>
          <w:sz w:val="24"/>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480" w:lineRule="auto"/>
        <w:ind w:left="960" w:firstLine="720" w:firstLineChars="300"/>
        <w:rPr>
          <w:rFonts w:ascii="仿宋" w:hAnsi="仿宋" w:eastAsia="仿宋" w:cs="仿宋"/>
          <w:color w:val="auto"/>
          <w:sz w:val="24"/>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480" w:lineRule="auto"/>
        <w:ind w:firstLine="1680" w:firstLineChars="700"/>
        <w:rPr>
          <w:rFonts w:ascii="仿宋" w:hAnsi="仿宋" w:eastAsia="仿宋" w:cs="仿宋"/>
          <w:color w:val="auto"/>
          <w:sz w:val="24"/>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480" w:lineRule="auto"/>
        <w:ind w:firstLine="1680" w:firstLineChars="700"/>
        <w:rPr>
          <w:rFonts w:ascii="仿宋" w:hAnsi="仿宋" w:eastAsia="仿宋" w:cs="仿宋"/>
          <w:color w:val="auto"/>
          <w:sz w:val="24"/>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u w:val="single"/>
          <w:lang w:val="zh-CN"/>
        </w:rPr>
        <w:br w:type="page"/>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u w:val="single"/>
          <w:lang w:val="zh-CN"/>
        </w:rPr>
        <w:t xml:space="preserve">   （采购人）   </w:t>
      </w:r>
      <w:r>
        <w:rPr>
          <w:rFonts w:hint="eastAsia" w:ascii="仿宋" w:hAnsi="仿宋" w:eastAsia="仿宋" w:cs="仿宋"/>
          <w:color w:val="auto"/>
          <w:sz w:val="24"/>
          <w:lang w:val="zh-CN"/>
        </w:rPr>
        <w:t>以</w:t>
      </w:r>
      <w:r>
        <w:rPr>
          <w:rFonts w:hint="eastAsia" w:ascii="仿宋" w:hAnsi="仿宋" w:eastAsia="仿宋" w:cs="仿宋"/>
          <w:color w:val="auto"/>
          <w:sz w:val="24"/>
          <w:u w:val="single"/>
          <w:lang w:val="zh-CN"/>
        </w:rPr>
        <w:t xml:space="preserve">   （政府采购方式）  </w:t>
      </w:r>
      <w:r>
        <w:rPr>
          <w:rFonts w:hint="eastAsia" w:ascii="仿宋" w:hAnsi="仿宋" w:eastAsia="仿宋" w:cs="仿宋"/>
          <w:color w:val="auto"/>
          <w:sz w:val="24"/>
          <w:lang w:val="zh-CN"/>
        </w:rPr>
        <w:t>对</w:t>
      </w:r>
      <w:r>
        <w:rPr>
          <w:rFonts w:hint="eastAsia" w:ascii="仿宋" w:hAnsi="仿宋" w:eastAsia="仿宋" w:cs="仿宋"/>
          <w:color w:val="auto"/>
          <w:sz w:val="24"/>
          <w:u w:val="single"/>
          <w:lang w:val="zh-CN"/>
        </w:rPr>
        <w:t xml:space="preserve">   （同前页项目名称）   </w:t>
      </w:r>
      <w:r>
        <w:rPr>
          <w:rFonts w:hint="eastAsia" w:ascii="仿宋" w:hAnsi="仿宋" w:eastAsia="仿宋" w:cs="仿宋"/>
          <w:color w:val="auto"/>
          <w:sz w:val="24"/>
          <w:lang w:val="zh-CN"/>
        </w:rPr>
        <w:t>项目进行了采购。经</w:t>
      </w:r>
      <w:r>
        <w:rPr>
          <w:rFonts w:hint="eastAsia" w:ascii="仿宋" w:hAnsi="仿宋" w:eastAsia="仿宋" w:cs="仿宋"/>
          <w:color w:val="auto"/>
          <w:sz w:val="24"/>
          <w:u w:val="single"/>
          <w:lang w:val="zh-CN"/>
        </w:rPr>
        <w:t xml:space="preserve">   （相关评定主体名称）   </w:t>
      </w:r>
      <w:r>
        <w:rPr>
          <w:rFonts w:hint="eastAsia" w:ascii="仿宋" w:hAnsi="仿宋" w:eastAsia="仿宋" w:cs="仿宋"/>
          <w:color w:val="auto"/>
          <w:sz w:val="24"/>
          <w:lang w:val="zh-CN"/>
        </w:rPr>
        <w:t>评定，</w:t>
      </w:r>
      <w:r>
        <w:rPr>
          <w:rFonts w:hint="eastAsia" w:ascii="仿宋" w:hAnsi="仿宋" w:eastAsia="仿宋" w:cs="仿宋"/>
          <w:color w:val="auto"/>
          <w:sz w:val="24"/>
          <w:u w:val="single"/>
          <w:lang w:val="zh-CN"/>
        </w:rPr>
        <w:t xml:space="preserve">   （中标供应商名称）</w:t>
      </w:r>
      <w:r>
        <w:rPr>
          <w:rFonts w:hint="eastAsia" w:ascii="仿宋" w:hAnsi="仿宋" w:eastAsia="仿宋" w:cs="仿宋"/>
          <w:color w:val="auto"/>
          <w:sz w:val="24"/>
          <w:lang w:val="zh-CN"/>
        </w:rPr>
        <w:t>为该项目中标供应商。现于中标通知书发出之日起三十日内，按照采购文件确定的事项签订本合同。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adjustRightInd w:val="0"/>
        <w:spacing w:line="360" w:lineRule="auto"/>
        <w:ind w:firstLine="482" w:firstLineChars="200"/>
        <w:outlineLvl w:val="0"/>
        <w:rPr>
          <w:rFonts w:ascii="仿宋" w:hAnsi="仿宋" w:eastAsia="仿宋" w:cs="仿宋"/>
          <w:b/>
          <w:color w:val="auto"/>
          <w:sz w:val="24"/>
        </w:rPr>
      </w:pPr>
      <w:bookmarkStart w:id="0" w:name="_Toc2232"/>
      <w:bookmarkStart w:id="1" w:name="_Toc3029"/>
      <w:bookmarkStart w:id="2" w:name="_Toc24059"/>
      <w:r>
        <w:rPr>
          <w:rFonts w:hint="eastAsia" w:ascii="仿宋" w:hAnsi="仿宋" w:eastAsia="仿宋" w:cs="仿宋"/>
          <w:b/>
          <w:color w:val="auto"/>
          <w:sz w:val="24"/>
        </w:rPr>
        <w:t>1 定义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 “合同价”系指根据合同约定，中标供应商在完全履行合同义务后，采购人应支付给中标供应商的价格。</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 “甲方”系指与中标供应商签署合同的采购人；采购人委托采购代理机构代表其与乙方签订合同的，采购人的授权委托书作为合同附件。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1.6 “现场”系指合同约定货物将要运至或者安装的地点。</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 合同组成部分</w:t>
      </w:r>
      <w:bookmarkEnd w:id="0"/>
      <w:bookmarkEnd w:id="1"/>
      <w:bookmarkEnd w:id="2"/>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本合同及其补充合同、变更协议；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 中标通知书；</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投标文件（含澄清或者说明文件）；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招标文件（含澄清或者修改文件）；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 其他相关采购文件。</w:t>
      </w:r>
    </w:p>
    <w:p>
      <w:pPr>
        <w:adjustRightInd w:val="0"/>
        <w:spacing w:line="360" w:lineRule="auto"/>
        <w:ind w:firstLine="482" w:firstLineChars="200"/>
        <w:outlineLvl w:val="0"/>
        <w:rPr>
          <w:rFonts w:ascii="仿宋" w:hAnsi="仿宋" w:eastAsia="仿宋" w:cs="仿宋"/>
          <w:b/>
          <w:color w:val="auto"/>
          <w:sz w:val="24"/>
        </w:rPr>
      </w:pPr>
      <w:bookmarkStart w:id="3" w:name="_Toc24300"/>
      <w:bookmarkStart w:id="4" w:name="_Toc27126"/>
      <w:bookmarkStart w:id="5" w:name="_Toc21295"/>
      <w:r>
        <w:rPr>
          <w:rFonts w:hint="eastAsia" w:ascii="仿宋" w:hAnsi="仿宋" w:eastAsia="仿宋" w:cs="仿宋"/>
          <w:b/>
          <w:color w:val="auto"/>
          <w:sz w:val="24"/>
        </w:rPr>
        <w:t>3 货物</w:t>
      </w:r>
      <w:bookmarkEnd w:id="3"/>
      <w:bookmarkEnd w:id="4"/>
      <w:bookmarkEnd w:id="5"/>
    </w:p>
    <w:tbl>
      <w:tblPr>
        <w:tblStyle w:val="15"/>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20"/>
        <w:gridCol w:w="925"/>
        <w:gridCol w:w="1245"/>
        <w:gridCol w:w="346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货物名称</w:t>
            </w:r>
          </w:p>
        </w:tc>
        <w:tc>
          <w:tcPr>
            <w:tcW w:w="92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品牌名称</w:t>
            </w:r>
          </w:p>
        </w:tc>
        <w:tc>
          <w:tcPr>
            <w:tcW w:w="346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rPr>
                <w:rFonts w:ascii="仿宋" w:hAnsi="仿宋" w:eastAsia="仿宋" w:cs="仿宋"/>
                <w:color w:val="auto"/>
                <w:sz w:val="24"/>
                <w:szCs w:val="24"/>
              </w:rPr>
            </w:pPr>
            <w:r>
              <w:rPr>
                <w:rFonts w:hint="eastAsia" w:ascii="仿宋" w:hAnsi="仿宋" w:eastAsia="仿宋" w:cs="仿宋"/>
                <w:color w:val="auto"/>
                <w:sz w:val="24"/>
                <w:szCs w:val="24"/>
              </w:rPr>
              <w:t>规格型号/技术要求/质量要求</w:t>
            </w:r>
          </w:p>
        </w:tc>
        <w:tc>
          <w:tcPr>
            <w:tcW w:w="1186"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bl>
    <w:p>
      <w:pPr>
        <w:pStyle w:val="20"/>
        <w:ind w:firstLine="560"/>
        <w:rPr>
          <w:color w:val="auto"/>
        </w:rPr>
      </w:pPr>
    </w:p>
    <w:p>
      <w:pPr>
        <w:adjustRightInd w:val="0"/>
        <w:spacing w:line="360" w:lineRule="auto"/>
        <w:ind w:firstLine="482" w:firstLineChars="200"/>
        <w:outlineLvl w:val="0"/>
        <w:rPr>
          <w:rFonts w:ascii="仿宋" w:hAnsi="仿宋" w:eastAsia="仿宋" w:cs="仿宋"/>
          <w:b/>
          <w:color w:val="auto"/>
          <w:sz w:val="24"/>
        </w:rPr>
      </w:pPr>
      <w:bookmarkStart w:id="6" w:name="_Toc23292"/>
      <w:bookmarkStart w:id="7" w:name="_Toc21551"/>
      <w:bookmarkStart w:id="8" w:name="_Toc21631"/>
      <w:r>
        <w:rPr>
          <w:rFonts w:hint="eastAsia" w:ascii="仿宋" w:hAnsi="仿宋" w:eastAsia="仿宋" w:cs="仿宋"/>
          <w:b/>
          <w:color w:val="auto"/>
          <w:sz w:val="24"/>
        </w:rPr>
        <w:t>4 价款</w:t>
      </w:r>
      <w:bookmarkEnd w:id="6"/>
      <w:bookmarkEnd w:id="7"/>
      <w:bookmarkEnd w:id="8"/>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分项价格：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bl>
    <w:p>
      <w:pPr>
        <w:adjustRightInd w:val="0"/>
        <w:spacing w:line="360" w:lineRule="auto"/>
        <w:ind w:firstLine="482" w:firstLineChars="200"/>
        <w:outlineLvl w:val="0"/>
        <w:rPr>
          <w:rFonts w:ascii="仿宋" w:hAnsi="仿宋" w:eastAsia="仿宋" w:cs="仿宋"/>
          <w:b/>
          <w:color w:val="auto"/>
          <w:sz w:val="24"/>
        </w:rPr>
      </w:pPr>
      <w:bookmarkStart w:id="9" w:name="_Toc1814"/>
      <w:bookmarkStart w:id="10" w:name="_Toc10340"/>
      <w:bookmarkStart w:id="11" w:name="_Toc22618"/>
      <w:r>
        <w:rPr>
          <w:rFonts w:hint="eastAsia" w:ascii="仿宋" w:hAnsi="仿宋" w:eastAsia="仿宋" w:cs="仿宋"/>
          <w:b/>
          <w:color w:val="auto"/>
          <w:sz w:val="24"/>
        </w:rPr>
        <w:t>5 付款</w:t>
      </w:r>
      <w:bookmarkEnd w:id="9"/>
      <w:bookmarkEnd w:id="10"/>
      <w:bookmarkEnd w:id="11"/>
      <w:r>
        <w:rPr>
          <w:rFonts w:hint="eastAsia" w:ascii="仿宋" w:hAnsi="仿宋" w:eastAsia="仿宋" w:cs="仿宋"/>
          <w:b/>
          <w:color w:val="auto"/>
          <w:sz w:val="24"/>
        </w:rPr>
        <w:t>方式、时间和条件</w:t>
      </w:r>
    </w:p>
    <w:p>
      <w:pPr>
        <w:pStyle w:val="24"/>
        <w:spacing w:before="0" w:beforeAutospacing="0" w:after="0" w:afterAutospacing="0" w:line="360" w:lineRule="auto"/>
        <w:ind w:firstLine="480"/>
        <w:rPr>
          <w:rFonts w:ascii="仿宋" w:hAnsi="仿宋" w:eastAsia="仿宋" w:cs="仿宋"/>
          <w:b/>
          <w:bCs/>
          <w:i/>
          <w:iCs/>
          <w:color w:val="auto"/>
          <w:kern w:val="2"/>
          <w:u w:val="single"/>
        </w:rPr>
      </w:pPr>
      <w:bookmarkStart w:id="12" w:name="_Toc32071"/>
      <w:bookmarkStart w:id="13" w:name="_Toc19304"/>
      <w:bookmarkStart w:id="14" w:name="_Toc2846"/>
      <w:r>
        <w:rPr>
          <w:rFonts w:hint="eastAsia" w:ascii="仿宋" w:hAnsi="仿宋" w:eastAsia="仿宋" w:cs="仿宋"/>
          <w:color w:val="auto"/>
          <w:kern w:val="2"/>
        </w:rPr>
        <w:t>5.1 资金支付的方式、时间和条件：</w:t>
      </w:r>
      <w:r>
        <w:rPr>
          <w:rFonts w:hint="eastAsia" w:ascii="仿宋" w:hAnsi="仿宋" w:eastAsia="仿宋" w:cs="仿宋"/>
          <w:b/>
          <w:bCs/>
          <w:i/>
          <w:iCs/>
          <w:color w:val="auto"/>
          <w:kern w:val="2"/>
          <w:u w:val="single"/>
        </w:rPr>
        <w:t xml:space="preserve">                       </w:t>
      </w:r>
    </w:p>
    <w:p>
      <w:pPr>
        <w:pStyle w:val="24"/>
        <w:spacing w:before="0" w:beforeAutospacing="0" w:after="0" w:afterAutospacing="0" w:line="360" w:lineRule="auto"/>
        <w:ind w:firstLine="480"/>
        <w:rPr>
          <w:rFonts w:ascii="仿宋" w:hAnsi="仿宋" w:eastAsia="仿宋" w:cs="仿宋"/>
          <w:color w:val="auto"/>
          <w:kern w:val="2"/>
        </w:rPr>
      </w:pPr>
      <w:r>
        <w:rPr>
          <w:rFonts w:hint="eastAsia" w:ascii="仿宋" w:hAnsi="仿宋" w:eastAsia="仿宋" w:cs="仿宋"/>
          <w:color w:val="auto"/>
          <w:kern w:val="2"/>
        </w:rPr>
        <w:t>5.2 乙方收款账户：</w:t>
      </w:r>
    </w:p>
    <w:p>
      <w:pPr>
        <w:autoSpaceDE w:val="0"/>
        <w:autoSpaceDN w:val="0"/>
        <w:spacing w:line="360" w:lineRule="auto"/>
        <w:ind w:left="1470" w:leftChars="700"/>
        <w:rPr>
          <w:rFonts w:ascii="仿宋" w:hAnsi="仿宋" w:eastAsia="仿宋" w:cs="仿宋"/>
          <w:color w:val="auto"/>
          <w:sz w:val="24"/>
        </w:rPr>
      </w:pPr>
      <w:r>
        <w:rPr>
          <w:rFonts w:hint="eastAsia" w:ascii="仿宋" w:hAnsi="仿宋" w:eastAsia="仿宋" w:cs="仿宋"/>
          <w:color w:val="auto"/>
          <w:sz w:val="24"/>
        </w:rPr>
        <w:t>开户银行：</w:t>
      </w:r>
      <w:r>
        <w:rPr>
          <w:rFonts w:hint="eastAsia" w:ascii="仿宋" w:hAnsi="仿宋" w:eastAsia="仿宋" w:cs="仿宋"/>
          <w:b/>
          <w:bCs/>
          <w:i/>
          <w:iCs/>
          <w:color w:val="auto"/>
          <w:sz w:val="24"/>
          <w:u w:val="single"/>
        </w:rPr>
        <w:t xml:space="preserve">                          </w:t>
      </w:r>
      <w:r>
        <w:rPr>
          <w:rFonts w:hint="eastAsia" w:ascii="仿宋" w:hAnsi="仿宋" w:eastAsia="仿宋" w:cs="仿宋"/>
          <w:color w:val="auto"/>
          <w:sz w:val="24"/>
        </w:rPr>
        <w:t xml:space="preserve">                          </w:t>
      </w:r>
    </w:p>
    <w:p>
      <w:pPr>
        <w:autoSpaceDE w:val="0"/>
        <w:autoSpaceDN w:val="0"/>
        <w:spacing w:line="360" w:lineRule="auto"/>
        <w:ind w:left="1470" w:leftChars="700"/>
        <w:rPr>
          <w:rFonts w:ascii="仿宋" w:hAnsi="仿宋" w:eastAsia="仿宋" w:cs="仿宋"/>
          <w:color w:val="auto"/>
          <w:sz w:val="24"/>
        </w:rPr>
      </w:pPr>
      <w:r>
        <w:rPr>
          <w:rFonts w:hint="eastAsia" w:ascii="仿宋" w:hAnsi="仿宋" w:eastAsia="仿宋" w:cs="仿宋"/>
          <w:color w:val="auto"/>
          <w:sz w:val="24"/>
        </w:rPr>
        <w:t>开户名称：</w:t>
      </w:r>
      <w:r>
        <w:rPr>
          <w:rFonts w:hint="eastAsia" w:ascii="仿宋" w:hAnsi="仿宋" w:eastAsia="仿宋" w:cs="仿宋"/>
          <w:b/>
          <w:bCs/>
          <w:i/>
          <w:iCs/>
          <w:color w:val="auto"/>
          <w:sz w:val="24"/>
          <w:u w:val="single"/>
        </w:rPr>
        <w:t xml:space="preserve">                          </w:t>
      </w:r>
      <w:r>
        <w:rPr>
          <w:rFonts w:hint="eastAsia" w:ascii="仿宋" w:hAnsi="仿宋" w:eastAsia="仿宋" w:cs="仿宋"/>
          <w:color w:val="auto"/>
          <w:sz w:val="24"/>
        </w:rPr>
        <w:t xml:space="preserve">                             </w:t>
      </w:r>
    </w:p>
    <w:p>
      <w:pPr>
        <w:autoSpaceDE w:val="0"/>
        <w:autoSpaceDN w:val="0"/>
        <w:spacing w:line="360" w:lineRule="auto"/>
        <w:ind w:left="1470" w:leftChars="700"/>
        <w:rPr>
          <w:rFonts w:ascii="仿宋" w:hAnsi="仿宋" w:eastAsia="仿宋" w:cs="仿宋"/>
          <w:color w:val="auto"/>
          <w:sz w:val="24"/>
          <w:lang w:val="zh-CN"/>
        </w:rPr>
      </w:pPr>
      <w:r>
        <w:rPr>
          <w:rFonts w:hint="eastAsia" w:ascii="仿宋" w:hAnsi="仿宋" w:eastAsia="仿宋" w:cs="仿宋"/>
          <w:color w:val="auto"/>
          <w:sz w:val="24"/>
        </w:rPr>
        <w:t>开户账号：</w:t>
      </w:r>
      <w:r>
        <w:rPr>
          <w:rFonts w:hint="eastAsia" w:ascii="仿宋" w:hAnsi="仿宋" w:eastAsia="仿宋" w:cs="仿宋"/>
          <w:b/>
          <w:bCs/>
          <w:i/>
          <w:iCs/>
          <w:color w:val="auto"/>
          <w:sz w:val="24"/>
          <w:u w:val="single"/>
        </w:rPr>
        <w:t xml:space="preserve">                          </w:t>
      </w:r>
      <w:r>
        <w:rPr>
          <w:rFonts w:hint="eastAsia" w:ascii="仿宋" w:hAnsi="仿宋" w:eastAsia="仿宋" w:cs="仿宋"/>
          <w:color w:val="auto"/>
          <w:sz w:val="24"/>
          <w:lang w:val="zh-CN"/>
        </w:rPr>
        <w:t xml:space="preserve">      </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6 货物交付期限、地点</w:t>
      </w:r>
      <w:bookmarkEnd w:id="12"/>
      <w:bookmarkEnd w:id="13"/>
      <w:bookmarkEnd w:id="14"/>
    </w:p>
    <w:p>
      <w:pPr>
        <w:adjustRightIn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6.1 交付期限：</w:t>
      </w:r>
      <w:r>
        <w:rPr>
          <w:rFonts w:hint="eastAsia" w:ascii="仿宋" w:hAnsi="仿宋" w:eastAsia="仿宋" w:cs="仿宋"/>
          <w:b/>
          <w:i/>
          <w:color w:val="auto"/>
          <w:u w:val="single"/>
        </w:rPr>
        <w:t xml:space="preserve">                   </w:t>
      </w:r>
    </w:p>
    <w:p>
      <w:pPr>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 交付地点：</w:t>
      </w:r>
      <w:r>
        <w:rPr>
          <w:rFonts w:hint="eastAsia" w:ascii="仿宋" w:hAnsi="仿宋" w:eastAsia="仿宋" w:cs="仿宋"/>
          <w:b/>
          <w:i/>
          <w:color w:val="auto"/>
          <w:u w:val="single"/>
        </w:rPr>
        <w:t xml:space="preserve">                   </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7 技术规范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8 知识产权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8.2具有知识产权的计算机软件等货物的知识产权归属，除合同另有规定外，归甲方所有。</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9 包装和装运</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9.1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ascii="仿宋" w:hAnsi="仿宋" w:eastAsia="仿宋" w:cs="仿宋"/>
          <w:color w:val="auto"/>
        </w:rPr>
      </w:pPr>
      <w:r>
        <w:rPr>
          <w:rFonts w:hint="eastAsia" w:ascii="仿宋" w:hAnsi="仿宋" w:eastAsia="仿宋" w:cs="仿宋"/>
          <w:color w:val="auto"/>
          <w:sz w:val="24"/>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10 履约保证金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10.1 招标文件要求乙方提交履约保证金的，乙方应按</w:t>
      </w:r>
      <w:r>
        <w:rPr>
          <w:rFonts w:hint="eastAsia" w:ascii="仿宋" w:hAnsi="仿宋" w:eastAsia="仿宋" w:cs="仿宋"/>
          <w:color w:val="auto"/>
          <w:sz w:val="24"/>
          <w:u w:val="single"/>
        </w:rPr>
        <w:t xml:space="preserve">         </w:t>
      </w:r>
      <w:r>
        <w:rPr>
          <w:rFonts w:hint="eastAsia" w:ascii="仿宋" w:hAnsi="仿宋" w:eastAsia="仿宋" w:cs="仿宋"/>
          <w:color w:val="auto"/>
          <w:sz w:val="24"/>
        </w:rPr>
        <w:t>方式（可以支票、汇票、本票或者银行保函等非现金形式），在合同签订并生效后</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日内提交不超过合同金额1%的履约保证金。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10.2  履约保证金在</w:t>
      </w:r>
      <w:r>
        <w:rPr>
          <w:rFonts w:hint="eastAsia" w:ascii="仿宋" w:hAnsi="仿宋" w:eastAsia="仿宋" w:cs="仿宋"/>
          <w:b/>
          <w:i/>
          <w:color w:val="auto"/>
          <w:u w:val="single"/>
        </w:rPr>
        <w:t xml:space="preserve">              </w:t>
      </w:r>
      <w:r>
        <w:rPr>
          <w:rFonts w:hint="eastAsia" w:ascii="仿宋" w:hAnsi="仿宋" w:eastAsia="仿宋" w:cs="仿宋"/>
          <w:color w:val="auto"/>
          <w:sz w:val="24"/>
        </w:rPr>
        <w:t>（合同规定的履约时间）内不予退还。乙方在前述约定期间届满前能履行完合同约定义务事项的，甲方在前述约定期间届满之日起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个工作日内，将履约保证金无息退还乙方。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11 履约检查和问题反馈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11.2 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12 检验和验收</w:t>
      </w:r>
    </w:p>
    <w:p>
      <w:pPr>
        <w:tabs>
          <w:tab w:val="left" w:pos="360"/>
          <w:tab w:val="left" w:pos="540"/>
          <w:tab w:val="left" w:pos="1080"/>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12.1货物交付前，乙方应对货物的质量、数量等方面进行详细、全面的检验，并向甲方出具证明货物符合合同约定的文件；货物交付时，乙方在交付后</w:t>
      </w:r>
      <w:r>
        <w:rPr>
          <w:rFonts w:hint="eastAsia" w:ascii="仿宋" w:hAnsi="仿宋" w:eastAsia="仿宋" w:cs="仿宋"/>
          <w:color w:val="auto"/>
          <w:sz w:val="24"/>
          <w:u w:val="single"/>
        </w:rPr>
        <w:t xml:space="preserve">     </w:t>
      </w:r>
      <w:r>
        <w:rPr>
          <w:rFonts w:hint="eastAsia" w:ascii="仿宋" w:hAnsi="仿宋" w:eastAsia="仿宋" w:cs="仿宋"/>
          <w:color w:val="auto"/>
          <w:sz w:val="24"/>
        </w:rPr>
        <w:t>个工作日内组织验收，并可依法邀请相关方参加，验收应出具验收书。</w:t>
      </w:r>
    </w:p>
    <w:p>
      <w:pPr>
        <w:tabs>
          <w:tab w:val="left" w:pos="360"/>
          <w:tab w:val="left" w:pos="540"/>
          <w:tab w:val="left" w:pos="1080"/>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13 技术资料和保密义务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13.1 乙方有权依据合同约定和项目需要，向甲方了解有关情况，调阅有关资料等，甲方应予积极配合；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13.2 乙方有义务妥善保管和保护由甲方提供的前款信息和资料等；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default" w:ascii="仿宋" w:hAnsi="仿宋" w:eastAsia="仿宋" w:cs="仿宋"/>
          <w:b/>
          <w:color w:val="auto"/>
          <w:sz w:val="24"/>
          <w:lang w:val="en-US" w:eastAsia="zh-CN"/>
        </w:rPr>
      </w:pPr>
      <w:r>
        <w:rPr>
          <w:rFonts w:hint="eastAsia" w:ascii="仿宋" w:hAnsi="仿宋" w:eastAsia="仿宋" w:cs="仿宋"/>
          <w:b/>
          <w:color w:val="auto"/>
          <w:sz w:val="24"/>
        </w:rPr>
        <w:t>14 质量保证</w:t>
      </w:r>
      <w:r>
        <w:rPr>
          <w:rFonts w:hint="eastAsia" w:ascii="仿宋" w:hAnsi="仿宋" w:eastAsia="仿宋" w:cs="仿宋"/>
          <w:b/>
          <w:color w:val="auto"/>
          <w:sz w:val="24"/>
          <w:lang w:val="en-US" w:eastAsia="zh-CN"/>
        </w:rPr>
        <w:t>及售后服务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14.2 乙方应保证履行合同的人员数量和素质、软件和硬件设备的配置、场地、环境和设施等满足全面履行合同的要求，并应接受甲方的监督检查。</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14.</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质保期：</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 xml:space="preserve">14.2 </w:t>
      </w:r>
      <w:r>
        <w:rPr>
          <w:rFonts w:hint="eastAsia" w:ascii="仿宋" w:hAnsi="仿宋" w:eastAsia="仿宋" w:cs="仿宋"/>
          <w:color w:val="auto"/>
          <w:sz w:val="24"/>
          <w:lang w:val="en-US" w:eastAsia="zh-CN"/>
        </w:rPr>
        <w:t>售后技术服务：</w:t>
      </w:r>
    </w:p>
    <w:p>
      <w:pPr>
        <w:spacing w:line="360" w:lineRule="auto"/>
        <w:ind w:firstLine="482" w:firstLineChars="200"/>
        <w:outlineLvl w:val="0"/>
        <w:rPr>
          <w:rFonts w:hint="eastAsia" w:ascii="仿宋" w:hAnsi="仿宋" w:eastAsia="仿宋" w:cs="仿宋"/>
          <w:b/>
          <w:color w:val="auto"/>
          <w:sz w:val="24"/>
          <w:lang w:eastAsia="zh-CN"/>
        </w:rPr>
      </w:pPr>
      <w:r>
        <w:rPr>
          <w:rFonts w:hint="eastAsia" w:ascii="仿宋" w:hAnsi="仿宋" w:eastAsia="仿宋" w:cs="仿宋"/>
          <w:b/>
          <w:color w:val="auto"/>
          <w:sz w:val="24"/>
        </w:rPr>
        <w:t>15 货物</w:t>
      </w:r>
      <w:r>
        <w:rPr>
          <w:rFonts w:hint="eastAsia" w:ascii="仿宋" w:hAnsi="仿宋" w:eastAsia="仿宋" w:cs="仿宋"/>
          <w:b/>
          <w:color w:val="auto"/>
          <w:sz w:val="24"/>
          <w:lang w:val="en-US" w:eastAsia="zh-CN"/>
        </w:rPr>
        <w:t>交付</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15</w:t>
      </w:r>
      <w:r>
        <w:rPr>
          <w:rFonts w:hint="eastAsia" w:ascii="仿宋" w:hAnsi="仿宋" w:eastAsia="仿宋" w:cs="仿宋"/>
          <w:color w:val="auto"/>
          <w:sz w:val="24"/>
        </w:rPr>
        <w:t xml:space="preserve">.1 </w:t>
      </w:r>
      <w:r>
        <w:rPr>
          <w:rFonts w:hint="eastAsia" w:ascii="仿宋" w:hAnsi="仿宋" w:eastAsia="仿宋" w:cs="仿宋"/>
          <w:color w:val="auto"/>
          <w:sz w:val="24"/>
          <w:lang w:val="en-US" w:eastAsia="zh-CN"/>
        </w:rPr>
        <w:t>货物所有权：乙方自货物交付起，甲方获得该货物的所有权，对该货物享有占有、使用、收益和处分的权利。</w:t>
      </w:r>
    </w:p>
    <w:p>
      <w:pPr>
        <w:spacing w:line="360" w:lineRule="auto"/>
        <w:ind w:firstLine="480" w:firstLineChars="200"/>
        <w:rPr>
          <w:rFonts w:hint="default" w:ascii="仿宋" w:hAnsi="仿宋" w:eastAsia="仿宋" w:cs="仿宋"/>
          <w:color w:val="auto"/>
          <w:sz w:val="24"/>
          <w:u w:val="single"/>
          <w:lang w:val="en-US" w:eastAsia="zh-CN"/>
        </w:rPr>
      </w:pP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货物交付：交付方式</w:t>
      </w:r>
      <w:r>
        <w:rPr>
          <w:rFonts w:hint="eastAsia" w:ascii="仿宋" w:hAnsi="仿宋" w:eastAsia="仿宋" w:cs="仿宋"/>
          <w:color w:val="auto"/>
          <w:sz w:val="24"/>
          <w:u w:val="single"/>
          <w:lang w:val="en-US" w:eastAsia="zh-CN"/>
        </w:rPr>
        <w:t>（现实交付/拟制交付</w:t>
      </w:r>
      <w:r>
        <w:rPr>
          <w:rFonts w:hint="eastAsia" w:ascii="仿宋" w:hAnsi="仿宋" w:eastAsia="仿宋" w:cs="仿宋"/>
          <w:color w:val="auto"/>
          <w:sz w:val="24"/>
          <w:lang w:val="en-US" w:eastAsia="zh-CN"/>
        </w:rPr>
        <w:t>）</w:t>
      </w:r>
      <w:r>
        <w:rPr>
          <w:rFonts w:hint="eastAsia" w:ascii="仿宋" w:hAnsi="仿宋" w:eastAsia="仿宋" w:cs="仿宋"/>
          <w:color w:val="auto"/>
          <w:sz w:val="24"/>
          <w:u w:val="none"/>
          <w:lang w:val="en-US" w:eastAsia="zh-CN"/>
        </w:rPr>
        <w:t>，如果该货物有从物（附件）应与货物一并交付。</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货物瑕疵担保责任</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15.3.1乙方保证所提供的货物不受其他人追夺和不存在没有被告知的权利负担。</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15.3.2乙方保证在本合同有效期内，所提供的产品无质量瑕疵或质量不符合本合同及其它相关文件中规定的要求，均是正规生产厂家生产并获得市场准入的正规产品。</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15.3.3如果甲方发现提供的产品存在质量瑕疵或质量不符合规定的要求，甲方有权要求乙方在规定的时间内进行维修或更换，并由乙方承担相应的费用。</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15.3.4在质量瑕疵或质量不符合规定的情况下，乙方应对甲方承担相应的赔偿责任。</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15.3.5乙方应当在规定的时间内对甲方提出的投诉或索赔做出及时回复。</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15.3.6如果主要货物存在瑕疵需解除合同，其效力及于从物（附件），如果从物有瑕疵但不及主物使用的，则合同解除效力不及主物；如果交付货物为数物的其中一物有瑕疵，甲方就有瑕疵的部分解除合同；如果分批交付货物的某批货物存在瑕疵，甲方就该批货物解除合同，但如果各批交付的货物是互有联系的，甲方则可以就该批以及以后各批货物解除合同。</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15.3.7乙方应保证在本合同有效期内提供有效的售后服务，并负责更换或调整相关产品。</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货物风险承担</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15.4.1甲方亲自提取标的物的，乙方将标的物置于约定或法定地点时起，风险由甲方承担。</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15.4.2乙方出卖交由承运人运输的在途标的物，除当事人另有约定外，自合同成立时起，在途风险由甲方承担。乙方在合同成立时知道或者应当知道标的物已经毁损、灭失却未告知甲方的，由乙方负担风险。</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15.4.3对于需要运输的标的物，没有约定交付地点或约定不明确的，自乙方将标的物交付给第一承运人起，风险由甲方承担。“标的物需要运输的”是指标的物由乙方负责办理托运，承运人系独立于合同当事人之外的运输业者的情形。</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15.4.4甲方受领迟延的，自迟延成立时起由甲方负担标的物风险。</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15.4.5乙方按照约定未交付有关标的物的单证和资料的，不影响风险的转移。</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15.4.6因标的物质量不符合要求致使不能实现合同目的，甲方拒绝接受标的物或者解除合同的，风险由乙方承担。</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15.4.7风险由甲方承担的，不影响因乙方违约、甲方要求其承担违约责任的权利。</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15.4.8甲乙双方对风险负担没有约定，标的物为种类物，乙方未以装运单据、加盖标记、通知甲方等可识别的方式清楚地将标的物特定于合同，甲方不负担风险。</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16 延迟交货</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17 合同变更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18 合同转让和分包</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18.1</w:t>
      </w:r>
      <w:r>
        <w:rPr>
          <w:rFonts w:hint="eastAsia" w:ascii="仿宋" w:hAnsi="仿宋" w:eastAsia="仿宋" w:cs="仿宋"/>
          <w:color w:val="auto"/>
          <w:sz w:val="24"/>
          <w:lang w:val="en-US" w:eastAsia="zh-CN"/>
        </w:rPr>
        <w:t xml:space="preserve"> 本合同不允许转让。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lang w:val="en-US" w:eastAsia="zh-CN"/>
        </w:rPr>
        <w:t>18.2本合同不允许分包。但采购文件允许且</w:t>
      </w:r>
      <w:r>
        <w:rPr>
          <w:rFonts w:hint="eastAsia" w:ascii="仿宋" w:hAnsi="仿宋" w:eastAsia="仿宋" w:cs="仿宋"/>
          <w:color w:val="auto"/>
          <w:sz w:val="24"/>
        </w:rPr>
        <w:t>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ascii="仿宋" w:hAnsi="仿宋" w:eastAsia="仿宋" w:cs="仿宋"/>
          <w:b/>
          <w:color w:val="auto"/>
          <w:sz w:val="24"/>
        </w:rPr>
      </w:pPr>
      <w:bookmarkStart w:id="15" w:name="_Toc21423"/>
      <w:bookmarkStart w:id="16" w:name="_Toc27250"/>
      <w:bookmarkStart w:id="17" w:name="_Toc19554"/>
      <w:r>
        <w:rPr>
          <w:rFonts w:hint="eastAsia" w:ascii="仿宋" w:hAnsi="仿宋" w:eastAsia="仿宋" w:cs="仿宋"/>
          <w:b/>
          <w:color w:val="auto"/>
          <w:sz w:val="24"/>
        </w:rPr>
        <w:t>19 违约责任</w:t>
      </w:r>
      <w:bookmarkEnd w:id="15"/>
      <w:bookmarkEnd w:id="16"/>
      <w:bookmarkEnd w:id="17"/>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19.1 除不可抗力外，如果乙方拒绝履行合同，或没有按照本合同约定的期限、地点和方式交付货物，那么甲方可要求乙方支付违约金，违约金按每日计合同总价的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%，最高限额为本合同总价的</w:t>
      </w:r>
      <w:r>
        <w:rPr>
          <w:rFonts w:hint="eastAsia" w:ascii="仿宋" w:hAnsi="仿宋" w:eastAsia="仿宋" w:cs="仿宋"/>
          <w:color w:val="auto"/>
          <w:sz w:val="24"/>
          <w:u w:val="single"/>
        </w:rPr>
        <w:t xml:space="preserve"> 10  </w:t>
      </w:r>
      <w:r>
        <w:rPr>
          <w:rFonts w:hint="eastAsia" w:ascii="仿宋" w:hAnsi="仿宋" w:eastAsia="仿宋" w:cs="仿宋"/>
          <w:color w:val="auto"/>
          <w:sz w:val="24"/>
        </w:rPr>
        <w:t>%；迟延交付货物的违约金计算数额达到前述最高限额之日起，甲方有权在要求乙方支付违约金的同时，书面通知乙方</w:t>
      </w:r>
      <w:r>
        <w:rPr>
          <w:rFonts w:hint="eastAsia" w:ascii="仿宋" w:hAnsi="仿宋" w:eastAsia="仿宋" w:cs="仿宋"/>
          <w:color w:val="auto"/>
          <w:sz w:val="24"/>
          <w:lang w:val="en-US" w:eastAsia="zh-CN"/>
        </w:rPr>
        <w:t>并</w:t>
      </w:r>
      <w:r>
        <w:rPr>
          <w:rFonts w:hint="eastAsia" w:ascii="仿宋" w:hAnsi="仿宋" w:eastAsia="仿宋" w:cs="仿宋"/>
          <w:color w:val="auto"/>
          <w:sz w:val="24"/>
        </w:rPr>
        <w:t>解除本合同；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10   </w:t>
      </w:r>
      <w:r>
        <w:rPr>
          <w:rFonts w:hint="eastAsia" w:ascii="仿宋" w:hAnsi="仿宋" w:eastAsia="仿宋" w:cs="仿宋"/>
          <w:color w:val="auto"/>
          <w:sz w:val="24"/>
        </w:rPr>
        <w:t>%；迟延付款的违约金计算数额达到前述最高限额之日起，乙方有权在要求甲方支付违约金的同时，书面通知甲方</w:t>
      </w:r>
      <w:r>
        <w:rPr>
          <w:rFonts w:hint="eastAsia" w:ascii="仿宋" w:hAnsi="仿宋" w:eastAsia="仿宋" w:cs="仿宋"/>
          <w:color w:val="auto"/>
          <w:sz w:val="24"/>
          <w:lang w:val="en-US" w:eastAsia="zh-CN"/>
        </w:rPr>
        <w:t>并</w:t>
      </w:r>
      <w:r>
        <w:rPr>
          <w:rFonts w:hint="eastAsia" w:ascii="仿宋" w:hAnsi="仿宋" w:eastAsia="仿宋" w:cs="仿宋"/>
          <w:color w:val="auto"/>
          <w:sz w:val="24"/>
        </w:rPr>
        <w:t>解除本合同；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w:t>
      </w:r>
      <w:r>
        <w:rPr>
          <w:rFonts w:hint="eastAsia" w:ascii="仿宋" w:hAnsi="仿宋" w:eastAsia="仿宋" w:cs="仿宋"/>
          <w:color w:val="auto"/>
          <w:sz w:val="24"/>
          <w:lang w:val="en-US" w:eastAsia="zh-CN"/>
        </w:rPr>
        <w:t>并</w:t>
      </w:r>
      <w:r>
        <w:rPr>
          <w:rFonts w:hint="eastAsia" w:ascii="仿宋" w:hAnsi="仿宋" w:eastAsia="仿宋" w:cs="仿宋"/>
          <w:color w:val="auto"/>
          <w:sz w:val="24"/>
        </w:rPr>
        <w:t>解除本合同；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20 不可抗力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20.2 因不可抗力致使不能实现合同目的的，当事人可以解除合同；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20.3 因不可抗力致使合同有变更必要的，双方当事人应在不可抗力发生后</w:t>
      </w:r>
      <w:r>
        <w:rPr>
          <w:rFonts w:hint="eastAsia" w:ascii="仿宋" w:hAnsi="仿宋" w:eastAsia="仿宋" w:cs="仿宋"/>
          <w:color w:val="auto"/>
          <w:sz w:val="24"/>
          <w:u w:val="single"/>
        </w:rPr>
        <w:t xml:space="preserve"> 10 </w:t>
      </w:r>
      <w:r>
        <w:rPr>
          <w:rFonts w:hint="eastAsia" w:ascii="仿宋" w:hAnsi="仿宋" w:eastAsia="仿宋" w:cs="仿宋"/>
          <w:color w:val="auto"/>
          <w:sz w:val="24"/>
        </w:rPr>
        <w:t>日内以书面形式变更合同；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20.4受不可抗力影响的一方在不可抗力发生后，应在</w:t>
      </w:r>
      <w:r>
        <w:rPr>
          <w:rFonts w:hint="eastAsia" w:ascii="仿宋" w:hAnsi="仿宋" w:eastAsia="仿宋" w:cs="仿宋"/>
          <w:color w:val="auto"/>
          <w:sz w:val="24"/>
          <w:u w:val="single"/>
        </w:rPr>
        <w:t xml:space="preserve">  5  </w:t>
      </w:r>
      <w:r>
        <w:rPr>
          <w:rFonts w:hint="eastAsia" w:ascii="仿宋" w:hAnsi="仿宋" w:eastAsia="仿宋" w:cs="仿宋"/>
          <w:color w:val="auto"/>
          <w:sz w:val="24"/>
        </w:rPr>
        <w:t>日内以书面形式通知对方当事人，并在</w:t>
      </w:r>
      <w:r>
        <w:rPr>
          <w:rFonts w:hint="eastAsia" w:ascii="仿宋" w:hAnsi="仿宋" w:eastAsia="仿宋" w:cs="仿宋"/>
          <w:color w:val="auto"/>
          <w:sz w:val="24"/>
          <w:u w:val="single"/>
        </w:rPr>
        <w:t xml:space="preserve">  15  </w:t>
      </w:r>
      <w:r>
        <w:rPr>
          <w:rFonts w:hint="eastAsia" w:ascii="仿宋" w:hAnsi="仿宋" w:eastAsia="仿宋" w:cs="仿宋"/>
          <w:color w:val="auto"/>
          <w:sz w:val="24"/>
        </w:rPr>
        <w:t>日内，将有关部门出具的证明文件送达对方当事人。</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21 税费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22 乙方破产</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仿宋" w:hAnsi="仿宋" w:eastAsia="仿宋" w:cs="仿宋"/>
          <w:b/>
          <w:color w:val="auto"/>
          <w:sz w:val="24"/>
        </w:rPr>
      </w:pPr>
      <w:bookmarkStart w:id="18" w:name="_Toc28375"/>
      <w:bookmarkStart w:id="19" w:name="_Toc15583"/>
      <w:bookmarkStart w:id="20" w:name="_Toc16021"/>
      <w:r>
        <w:rPr>
          <w:rFonts w:hint="eastAsia" w:ascii="仿宋" w:hAnsi="仿宋" w:eastAsia="仿宋" w:cs="仿宋"/>
          <w:b/>
          <w:color w:val="auto"/>
          <w:sz w:val="24"/>
        </w:rPr>
        <w:t>23 合同争议的解决</w:t>
      </w:r>
      <w:bookmarkEnd w:id="18"/>
      <w:bookmarkEnd w:id="19"/>
      <w:bookmarkEnd w:id="20"/>
    </w:p>
    <w:p>
      <w:pPr>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本合同履行过程中发生的任何争议，双方当事人均可通过和解或者调解解决；不愿和解、调解或者和解、调解不成的，可以向宁波市奉化区人民法院提起诉讼。</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24 合同中止、终止</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24.1 双方当事人不得擅自中止或者终止合同；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25 通知和送达</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25.1任何一方因履行合同而以合同第一部分尾部所列明的传真或电子邮件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26 计量单位</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27合同使用的文字和适用的法律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27.1 合同使用汉语书就、变更和解释；</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27.2 合同适用中华人民共和国法律。</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28合同效力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本合同一式四份，甲乙双方各两份，每份均具有同等法律效力。本合同自双方当事人盖章或者签字时生效。</w:t>
      </w:r>
    </w:p>
    <w:p>
      <w:pPr>
        <w:autoSpaceDE w:val="0"/>
        <w:autoSpaceDN w:val="0"/>
        <w:spacing w:line="360" w:lineRule="auto"/>
        <w:rPr>
          <w:rFonts w:ascii="仿宋" w:hAnsi="仿宋" w:eastAsia="仿宋" w:cs="仿宋"/>
          <w:color w:val="auto"/>
          <w:sz w:val="24"/>
          <w:lang w:val="zh-CN"/>
        </w:rPr>
      </w:pP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b/>
          <w:color w:val="auto"/>
          <w:sz w:val="24"/>
          <w:lang w:val="zh-CN"/>
        </w:rPr>
        <w:t>甲方名称（公章）</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乙方名称（公章）</w:t>
      </w:r>
      <w:r>
        <w:rPr>
          <w:rFonts w:hint="eastAsia" w:ascii="仿宋" w:hAnsi="仿宋" w:eastAsia="仿宋" w:cs="仿宋"/>
          <w:color w:val="auto"/>
          <w:sz w:val="24"/>
          <w:lang w:val="zh-CN"/>
        </w:rPr>
        <w:t>：</w:t>
      </w:r>
    </w:p>
    <w:p>
      <w:pPr>
        <w:autoSpaceDE w:val="0"/>
        <w:autoSpaceDN w:val="0"/>
        <w:spacing w:line="360" w:lineRule="auto"/>
        <w:rPr>
          <w:rFonts w:ascii="仿宋" w:hAnsi="仿宋" w:eastAsia="仿宋" w:cs="仿宋"/>
          <w:color w:val="auto"/>
          <w:sz w:val="24"/>
          <w:lang w:val="zh-CN"/>
        </w:rPr>
      </w:pP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法定代表人或授权代表（签字）：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法定代表人或授权代表（签字）: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pStyle w:val="20"/>
        <w:spacing w:line="360" w:lineRule="auto"/>
        <w:ind w:firstLine="480"/>
        <w:rPr>
          <w:rFonts w:ascii="仿宋" w:hAnsi="仿宋" w:eastAsia="仿宋" w:cs="仿宋"/>
          <w:color w:val="auto"/>
          <w:sz w:val="24"/>
        </w:rPr>
      </w:pPr>
    </w:p>
    <w:p>
      <w:pPr>
        <w:pStyle w:val="20"/>
        <w:spacing w:line="360" w:lineRule="auto"/>
        <w:ind w:firstLine="480"/>
        <w:rPr>
          <w:rFonts w:ascii="仿宋" w:hAnsi="仿宋" w:eastAsia="仿宋" w:cs="仿宋"/>
          <w:color w:val="auto"/>
          <w:sz w:val="24"/>
        </w:rPr>
      </w:pPr>
    </w:p>
    <w:p>
      <w:pPr>
        <w:pStyle w:val="20"/>
        <w:spacing w:line="360" w:lineRule="auto"/>
        <w:ind w:firstLine="0" w:firstLineChars="0"/>
        <w:rPr>
          <w:rFonts w:ascii="仿宋" w:hAnsi="仿宋" w:eastAsia="仿宋" w:cs="仿宋"/>
          <w:b/>
          <w:bCs/>
          <w:color w:val="auto"/>
          <w:sz w:val="24"/>
          <w:lang w:val="zh-CN"/>
        </w:rPr>
      </w:pPr>
      <w:r>
        <w:rPr>
          <w:rFonts w:hint="eastAsia" w:ascii="仿宋" w:hAnsi="仿宋" w:eastAsia="仿宋" w:cs="仿宋"/>
          <w:b/>
          <w:bCs/>
          <w:color w:val="auto"/>
          <w:sz w:val="24"/>
        </w:rPr>
        <w:t>见证人（公章）：采购代理机构名称</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住所：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法定代表人或授权代表（签字）：       </w:t>
      </w:r>
      <w:r>
        <w:rPr>
          <w:rFonts w:hint="eastAsia" w:ascii="仿宋" w:hAnsi="仿宋" w:eastAsia="仿宋" w:cs="仿宋"/>
          <w:color w:val="auto"/>
          <w:sz w:val="24"/>
        </w:rPr>
        <w:t xml:space="preserve">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联系人：                                                                    </w:t>
      </w:r>
    </w:p>
    <w:p>
      <w:pPr>
        <w:rPr>
          <w:color w:val="auto"/>
        </w:rPr>
      </w:pPr>
      <w:r>
        <w:rPr>
          <w:rFonts w:hint="eastAsia" w:ascii="仿宋" w:hAnsi="仿宋" w:eastAsia="仿宋" w:cs="仿宋"/>
          <w:color w:val="auto"/>
          <w:sz w:val="24"/>
          <w:lang w:val="zh-CN"/>
        </w:rPr>
        <w:t>电话:</w:t>
      </w:r>
    </w:p>
    <w:p>
      <w:pPr>
        <w:rPr>
          <w:rFonts w:ascii="仿宋" w:hAnsi="仿宋" w:eastAsia="仿宋" w:cs="仿宋"/>
          <w:color w:val="auto"/>
          <w:sz w:val="24"/>
          <w:lang w:val="zh-CN"/>
        </w:rPr>
      </w:pPr>
    </w:p>
    <w:p>
      <w:pPr>
        <w:rPr>
          <w:rFonts w:ascii="仿宋" w:hAnsi="仿宋" w:eastAsia="仿宋" w:cs="仿宋"/>
          <w:color w:val="auto"/>
          <w:sz w:val="24"/>
          <w:lang w:val="zh-CN"/>
        </w:rPr>
      </w:pPr>
    </w:p>
    <w:p>
      <w:pPr>
        <w:rPr>
          <w:color w:val="auto"/>
        </w:rPr>
      </w:pPr>
      <w:r>
        <w:rPr>
          <w:rFonts w:hint="eastAsia"/>
          <w:color w:val="auto"/>
        </w:rPr>
        <w:br w:type="page"/>
      </w:r>
    </w:p>
    <w:p>
      <w:pPr>
        <w:spacing w:line="360" w:lineRule="auto"/>
        <w:rPr>
          <w:rFonts w:ascii="Arial" w:hAnsi="Arial" w:eastAsia="宋体" w:cs="Arial"/>
          <w:b/>
          <w:color w:val="auto"/>
          <w:kern w:val="0"/>
          <w:sz w:val="30"/>
          <w:szCs w:val="30"/>
          <w:lang w:bidi="ar"/>
        </w:rPr>
      </w:pPr>
      <w:r>
        <w:rPr>
          <w:rFonts w:hint="eastAsia" w:ascii="Arial" w:hAnsi="Arial" w:eastAsia="宋体" w:cs="Arial"/>
          <w:b/>
          <w:color w:val="auto"/>
          <w:kern w:val="0"/>
          <w:sz w:val="30"/>
          <w:szCs w:val="30"/>
          <w:lang w:bidi="ar"/>
        </w:rPr>
        <w:t>服务类合同模板：</w:t>
      </w: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（服务类）</w:t>
      </w:r>
    </w:p>
    <w:p>
      <w:pPr>
        <w:pStyle w:val="21"/>
        <w:ind w:left="0" w:leftChars="0" w:firstLine="0" w:firstLineChars="0"/>
        <w:rPr>
          <w:rFonts w:ascii="仿宋" w:hAnsi="仿宋" w:eastAsia="仿宋" w:cs="仿宋"/>
          <w:color w:val="auto"/>
          <w:szCs w:val="24"/>
        </w:rPr>
      </w:pPr>
    </w:p>
    <w:p>
      <w:pPr>
        <w:pStyle w:val="21"/>
        <w:rPr>
          <w:rFonts w:ascii="仿宋" w:hAnsi="仿宋" w:eastAsia="仿宋" w:cs="仿宋"/>
          <w:color w:val="auto"/>
          <w:szCs w:val="24"/>
        </w:rPr>
      </w:pPr>
    </w:p>
    <w:p>
      <w:pPr>
        <w:pStyle w:val="21"/>
        <w:ind w:left="0" w:leftChars="0" w:firstLine="0" w:firstLineChars="0"/>
        <w:rPr>
          <w:rFonts w:ascii="仿宋" w:hAnsi="仿宋" w:eastAsia="仿宋" w:cs="仿宋"/>
          <w:color w:val="auto"/>
          <w:szCs w:val="24"/>
        </w:rPr>
      </w:pPr>
    </w:p>
    <w:p>
      <w:pPr>
        <w:spacing w:before="120" w:line="360" w:lineRule="auto"/>
        <w:rPr>
          <w:rFonts w:ascii="仿宋" w:hAnsi="仿宋" w:eastAsia="仿宋" w:cs="仿宋"/>
          <w:color w:val="auto"/>
          <w:sz w:val="24"/>
        </w:rPr>
      </w:pPr>
    </w:p>
    <w:p>
      <w:pPr>
        <w:spacing w:before="120" w:line="360" w:lineRule="auto"/>
        <w:ind w:left="960" w:firstLine="720" w:firstLineChars="30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22"/>
        <w:spacing w:before="120"/>
        <w:rPr>
          <w:rFonts w:ascii="仿宋" w:hAnsi="仿宋" w:eastAsia="仿宋" w:cs="仿宋"/>
          <w:color w:val="auto"/>
          <w:szCs w:val="24"/>
        </w:rPr>
      </w:pPr>
    </w:p>
    <w:p>
      <w:pPr>
        <w:pStyle w:val="22"/>
        <w:spacing w:before="120"/>
        <w:rPr>
          <w:rFonts w:ascii="仿宋" w:hAnsi="仿宋" w:eastAsia="仿宋" w:cs="仿宋"/>
          <w:color w:val="auto"/>
          <w:szCs w:val="24"/>
        </w:rPr>
      </w:pPr>
    </w:p>
    <w:p>
      <w:pPr>
        <w:spacing w:line="360" w:lineRule="auto"/>
        <w:rPr>
          <w:rFonts w:ascii="仿宋" w:hAnsi="仿宋" w:eastAsia="仿宋" w:cs="仿宋"/>
          <w:color w:val="auto"/>
          <w:sz w:val="24"/>
        </w:rPr>
      </w:pPr>
    </w:p>
    <w:p>
      <w:pPr>
        <w:spacing w:before="120" w:line="600" w:lineRule="auto"/>
        <w:ind w:left="960" w:firstLine="720" w:firstLineChars="300"/>
        <w:rPr>
          <w:rFonts w:ascii="仿宋" w:hAnsi="仿宋" w:eastAsia="仿宋" w:cs="仿宋"/>
          <w:color w:val="auto"/>
          <w:sz w:val="24"/>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600" w:lineRule="auto"/>
        <w:ind w:left="960" w:firstLine="720" w:firstLineChars="300"/>
        <w:rPr>
          <w:rFonts w:ascii="仿宋" w:hAnsi="仿宋" w:eastAsia="仿宋" w:cs="仿宋"/>
          <w:color w:val="auto"/>
          <w:sz w:val="24"/>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600" w:lineRule="auto"/>
        <w:ind w:firstLine="1680" w:firstLineChars="700"/>
        <w:rPr>
          <w:rFonts w:ascii="仿宋" w:hAnsi="仿宋" w:eastAsia="仿宋" w:cs="仿宋"/>
          <w:color w:val="auto"/>
          <w:sz w:val="24"/>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600" w:lineRule="auto"/>
        <w:ind w:firstLine="1680" w:firstLineChars="700"/>
        <w:rPr>
          <w:rFonts w:ascii="仿宋" w:hAnsi="仿宋" w:eastAsia="仿宋" w:cs="仿宋"/>
          <w:color w:val="auto"/>
          <w:sz w:val="24"/>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u w:val="single"/>
          <w:lang w:val="zh-CN"/>
        </w:rPr>
        <w:br w:type="page"/>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u w:val="single"/>
          <w:lang w:val="zh-CN"/>
        </w:rPr>
        <w:t xml:space="preserve">   （采购人）   </w:t>
      </w:r>
      <w:r>
        <w:rPr>
          <w:rFonts w:hint="eastAsia" w:ascii="仿宋" w:hAnsi="仿宋" w:eastAsia="仿宋" w:cs="仿宋"/>
          <w:color w:val="auto"/>
          <w:sz w:val="24"/>
          <w:lang w:val="zh-CN"/>
        </w:rPr>
        <w:t>以</w:t>
      </w:r>
      <w:r>
        <w:rPr>
          <w:rFonts w:hint="eastAsia" w:ascii="仿宋" w:hAnsi="仿宋" w:eastAsia="仿宋" w:cs="仿宋"/>
          <w:color w:val="auto"/>
          <w:sz w:val="24"/>
          <w:u w:val="single"/>
          <w:lang w:val="zh-CN"/>
        </w:rPr>
        <w:t xml:space="preserve">   （政府采购方式）  </w:t>
      </w:r>
      <w:r>
        <w:rPr>
          <w:rFonts w:hint="eastAsia" w:ascii="仿宋" w:hAnsi="仿宋" w:eastAsia="仿宋" w:cs="仿宋"/>
          <w:color w:val="auto"/>
          <w:sz w:val="24"/>
          <w:lang w:val="zh-CN"/>
        </w:rPr>
        <w:t>对</w:t>
      </w:r>
      <w:r>
        <w:rPr>
          <w:rFonts w:hint="eastAsia" w:ascii="仿宋" w:hAnsi="仿宋" w:eastAsia="仿宋" w:cs="仿宋"/>
          <w:color w:val="auto"/>
          <w:sz w:val="24"/>
          <w:u w:val="single"/>
          <w:lang w:val="zh-CN"/>
        </w:rPr>
        <w:t xml:space="preserve">   （同前页项目名称）   </w:t>
      </w:r>
      <w:r>
        <w:rPr>
          <w:rFonts w:hint="eastAsia" w:ascii="仿宋" w:hAnsi="仿宋" w:eastAsia="仿宋" w:cs="仿宋"/>
          <w:color w:val="auto"/>
          <w:sz w:val="24"/>
          <w:lang w:val="zh-CN"/>
        </w:rPr>
        <w:t>项目进行了采购。经</w:t>
      </w:r>
      <w:r>
        <w:rPr>
          <w:rFonts w:hint="eastAsia" w:ascii="仿宋" w:hAnsi="仿宋" w:eastAsia="仿宋" w:cs="仿宋"/>
          <w:color w:val="auto"/>
          <w:sz w:val="24"/>
          <w:u w:val="single"/>
          <w:lang w:val="zh-CN"/>
        </w:rPr>
        <w:t xml:space="preserve">   （相关评定主体名称）   </w:t>
      </w:r>
      <w:r>
        <w:rPr>
          <w:rFonts w:hint="eastAsia" w:ascii="仿宋" w:hAnsi="仿宋" w:eastAsia="仿宋" w:cs="仿宋"/>
          <w:color w:val="auto"/>
          <w:sz w:val="24"/>
          <w:lang w:val="zh-CN"/>
        </w:rPr>
        <w:t>评定，</w:t>
      </w:r>
      <w:r>
        <w:rPr>
          <w:rFonts w:hint="eastAsia" w:ascii="仿宋" w:hAnsi="仿宋" w:eastAsia="仿宋" w:cs="仿宋"/>
          <w:color w:val="auto"/>
          <w:sz w:val="24"/>
          <w:u w:val="single"/>
          <w:lang w:val="zh-CN"/>
        </w:rPr>
        <w:t xml:space="preserve">   （中标供应商名称）</w:t>
      </w:r>
      <w:r>
        <w:rPr>
          <w:rFonts w:hint="eastAsia" w:ascii="仿宋" w:hAnsi="仿宋" w:eastAsia="仿宋" w:cs="仿宋"/>
          <w:color w:val="auto"/>
          <w:sz w:val="24"/>
          <w:lang w:val="zh-CN"/>
        </w:rPr>
        <w:t>为该项目中标供应商。现于中标通知书发出之日起三十日内，按照采购文件确定的事项签订本合同。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 定义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 “合同价”系指根据合同约定，中标供应商在完全履行合同义务后，采购人应支付给中标供应商的价格。</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 “服务”系指中标供应商根据合同约定应为采购人提供的一切服务。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 “甲方”系指与中标供应商签署合同的采购人；采购人委托采购代理机构代表其与乙方签订合同的，采购人的授权委托书作为合同附件。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1.6 “现场”系指合同约定中标供应商为采购人提供服务的地点。</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 合同组成部分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本合同及其附件、补充合同、变更协议；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 中标通知书；</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投标文件（含澄清或者说明文件）；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招标文件（含澄清或者修改文件）；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 其他相关采购文件。</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3 服务内容（与招标文件一致）</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3.1 服务内容：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3.2 服务要求与标准：</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 服务成果：</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4 价款</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分项价格：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firstLine="200"/>
              <w:jc w:val="center"/>
              <w:rPr>
                <w:rFonts w:ascii="仿宋" w:hAnsi="仿宋" w:eastAsia="仿宋" w:cs="仿宋"/>
                <w:color w:val="auto"/>
                <w:sz w:val="24"/>
                <w:szCs w:val="24"/>
              </w:rPr>
            </w:pPr>
          </w:p>
        </w:tc>
      </w:tr>
    </w:tbl>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5 付款方式、时间和条件</w:t>
      </w:r>
    </w:p>
    <w:p>
      <w:pPr>
        <w:pStyle w:val="24"/>
        <w:spacing w:before="0" w:beforeAutospacing="0" w:after="0" w:afterAutospacing="0" w:line="360" w:lineRule="auto"/>
        <w:ind w:firstLine="480"/>
        <w:rPr>
          <w:rFonts w:ascii="仿宋" w:hAnsi="仿宋" w:eastAsia="仿宋" w:cs="仿宋"/>
          <w:b/>
          <w:bCs/>
          <w:i/>
          <w:iCs/>
          <w:color w:val="auto"/>
          <w:kern w:val="2"/>
          <w:u w:val="single"/>
        </w:rPr>
      </w:pPr>
      <w:r>
        <w:rPr>
          <w:rFonts w:hint="eastAsia" w:ascii="仿宋" w:hAnsi="仿宋" w:eastAsia="仿宋" w:cs="仿宋"/>
          <w:color w:val="auto"/>
          <w:kern w:val="2"/>
        </w:rPr>
        <w:t>5.1 资金支付的方式、时间和条件：</w:t>
      </w:r>
      <w:r>
        <w:rPr>
          <w:rFonts w:hint="eastAsia" w:ascii="仿宋" w:hAnsi="仿宋" w:eastAsia="仿宋" w:cs="仿宋"/>
          <w:b/>
          <w:bCs/>
          <w:i/>
          <w:iCs/>
          <w:color w:val="auto"/>
          <w:kern w:val="2"/>
          <w:u w:val="single"/>
        </w:rPr>
        <w:t xml:space="preserve">                       </w:t>
      </w:r>
    </w:p>
    <w:p>
      <w:pPr>
        <w:pStyle w:val="24"/>
        <w:spacing w:before="0" w:beforeAutospacing="0" w:after="0" w:afterAutospacing="0" w:line="360" w:lineRule="auto"/>
        <w:ind w:firstLine="480"/>
        <w:rPr>
          <w:rFonts w:ascii="仿宋" w:hAnsi="仿宋" w:eastAsia="仿宋" w:cs="仿宋"/>
          <w:color w:val="auto"/>
          <w:kern w:val="2"/>
        </w:rPr>
      </w:pPr>
      <w:r>
        <w:rPr>
          <w:rFonts w:hint="eastAsia" w:ascii="仿宋" w:hAnsi="仿宋" w:eastAsia="仿宋" w:cs="仿宋"/>
          <w:color w:val="auto"/>
          <w:kern w:val="2"/>
        </w:rPr>
        <w:t>5.2 乙方收款账户：</w:t>
      </w:r>
    </w:p>
    <w:p>
      <w:pPr>
        <w:autoSpaceDE w:val="0"/>
        <w:autoSpaceDN w:val="0"/>
        <w:spacing w:line="360" w:lineRule="auto"/>
        <w:ind w:left="1470" w:leftChars="700"/>
        <w:rPr>
          <w:rFonts w:ascii="仿宋" w:hAnsi="仿宋" w:eastAsia="仿宋" w:cs="仿宋"/>
          <w:color w:val="auto"/>
          <w:sz w:val="24"/>
        </w:rPr>
      </w:pPr>
      <w:r>
        <w:rPr>
          <w:rFonts w:hint="eastAsia" w:ascii="仿宋" w:hAnsi="仿宋" w:eastAsia="仿宋" w:cs="仿宋"/>
          <w:color w:val="auto"/>
          <w:sz w:val="24"/>
        </w:rPr>
        <w:t>开户银行：</w:t>
      </w:r>
      <w:r>
        <w:rPr>
          <w:rFonts w:hint="eastAsia" w:ascii="仿宋" w:hAnsi="仿宋" w:eastAsia="仿宋" w:cs="仿宋"/>
          <w:b/>
          <w:bCs/>
          <w:i/>
          <w:iCs/>
          <w:color w:val="auto"/>
          <w:sz w:val="24"/>
          <w:u w:val="single"/>
        </w:rPr>
        <w:t xml:space="preserve">                          </w:t>
      </w:r>
      <w:r>
        <w:rPr>
          <w:rFonts w:hint="eastAsia" w:ascii="仿宋" w:hAnsi="仿宋" w:eastAsia="仿宋" w:cs="仿宋"/>
          <w:color w:val="auto"/>
          <w:sz w:val="24"/>
        </w:rPr>
        <w:t xml:space="preserve">                          </w:t>
      </w:r>
    </w:p>
    <w:p>
      <w:pPr>
        <w:autoSpaceDE w:val="0"/>
        <w:autoSpaceDN w:val="0"/>
        <w:spacing w:line="360" w:lineRule="auto"/>
        <w:ind w:left="1470" w:leftChars="700"/>
        <w:rPr>
          <w:rFonts w:ascii="仿宋" w:hAnsi="仿宋" w:eastAsia="仿宋" w:cs="仿宋"/>
          <w:color w:val="auto"/>
          <w:sz w:val="24"/>
        </w:rPr>
      </w:pPr>
      <w:r>
        <w:rPr>
          <w:rFonts w:hint="eastAsia" w:ascii="仿宋" w:hAnsi="仿宋" w:eastAsia="仿宋" w:cs="仿宋"/>
          <w:color w:val="auto"/>
          <w:sz w:val="24"/>
        </w:rPr>
        <w:t>开户名称：</w:t>
      </w:r>
      <w:r>
        <w:rPr>
          <w:rFonts w:hint="eastAsia" w:ascii="仿宋" w:hAnsi="仿宋" w:eastAsia="仿宋" w:cs="仿宋"/>
          <w:b/>
          <w:bCs/>
          <w:i/>
          <w:iCs/>
          <w:color w:val="auto"/>
          <w:sz w:val="24"/>
          <w:u w:val="single"/>
        </w:rPr>
        <w:t xml:space="preserve">                          </w:t>
      </w:r>
      <w:r>
        <w:rPr>
          <w:rFonts w:hint="eastAsia" w:ascii="仿宋" w:hAnsi="仿宋" w:eastAsia="仿宋" w:cs="仿宋"/>
          <w:color w:val="auto"/>
          <w:sz w:val="24"/>
        </w:rPr>
        <w:t xml:space="preserve">                             </w:t>
      </w:r>
    </w:p>
    <w:p>
      <w:pPr>
        <w:autoSpaceDE w:val="0"/>
        <w:autoSpaceDN w:val="0"/>
        <w:spacing w:line="360" w:lineRule="auto"/>
        <w:ind w:left="1470" w:leftChars="700"/>
        <w:rPr>
          <w:rFonts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b/>
          <w:bCs/>
          <w:i/>
          <w:iCs/>
          <w:color w:val="auto"/>
          <w:sz w:val="24"/>
          <w:u w:val="single"/>
        </w:rPr>
        <w:t xml:space="preserve">                          </w:t>
      </w:r>
      <w:r>
        <w:rPr>
          <w:rFonts w:hint="eastAsia" w:ascii="仿宋" w:hAnsi="仿宋" w:eastAsia="仿宋" w:cs="仿宋"/>
          <w:color w:val="auto"/>
          <w:sz w:val="24"/>
          <w:lang w:val="zh-CN"/>
        </w:rPr>
        <w:t xml:space="preserve">                             </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6 服务期限、地点和服务人员要求</w:t>
      </w:r>
    </w:p>
    <w:p>
      <w:pPr>
        <w:adjustRightIn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6.1 服务期限：</w:t>
      </w:r>
      <w:r>
        <w:rPr>
          <w:rFonts w:hint="eastAsia" w:ascii="仿宋" w:hAnsi="仿宋" w:eastAsia="仿宋" w:cs="仿宋"/>
          <w:b/>
          <w:i/>
          <w:color w:val="auto"/>
          <w:u w:val="single"/>
        </w:rPr>
        <w:t xml:space="preserve">                   </w:t>
      </w:r>
    </w:p>
    <w:p>
      <w:pPr>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 服务地点：</w:t>
      </w:r>
      <w:r>
        <w:rPr>
          <w:rFonts w:hint="eastAsia" w:ascii="仿宋" w:hAnsi="仿宋" w:eastAsia="仿宋" w:cs="仿宋"/>
          <w:b/>
          <w:i/>
          <w:color w:val="auto"/>
          <w:u w:val="single"/>
        </w:rPr>
        <w:t xml:space="preserve">                   </w:t>
      </w:r>
    </w:p>
    <w:p>
      <w:pPr>
        <w:adjustRightIn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6.3 服务人员：</w:t>
      </w:r>
      <w:r>
        <w:rPr>
          <w:rFonts w:hint="eastAsia" w:ascii="仿宋" w:hAnsi="仿宋" w:eastAsia="仿宋" w:cs="仿宋"/>
          <w:b/>
          <w:i/>
          <w:color w:val="auto"/>
          <w:u w:val="single"/>
        </w:rPr>
        <w:t xml:space="preserve">                   </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7 技术规范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8 知识产权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8.1 乙方应保证甲方在使用服务成果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8.2具有知识产权的计算机软件等服务的知识产权归属，除合同另有规定外，归甲方所有。</w:t>
      </w:r>
    </w:p>
    <w:p>
      <w:pPr>
        <w:adjustRightInd w:val="0"/>
        <w:spacing w:line="360" w:lineRule="auto"/>
        <w:ind w:firstLine="482" w:firstLineChars="200"/>
        <w:outlineLvl w:val="0"/>
        <w:rPr>
          <w:rFonts w:hint="eastAsia" w:ascii="仿宋" w:hAnsi="仿宋" w:eastAsia="仿宋" w:cs="仿宋"/>
          <w:b/>
          <w:color w:val="auto"/>
          <w:sz w:val="24"/>
          <w:lang w:eastAsia="zh-CN"/>
        </w:rPr>
      </w:pPr>
      <w:r>
        <w:rPr>
          <w:rFonts w:hint="eastAsia" w:ascii="仿宋" w:hAnsi="仿宋" w:eastAsia="仿宋" w:cs="仿宋"/>
          <w:b/>
          <w:color w:val="auto"/>
          <w:sz w:val="24"/>
        </w:rPr>
        <w:t>9 包装和装运</w:t>
      </w:r>
      <w:r>
        <w:rPr>
          <w:rFonts w:hint="eastAsia" w:ascii="仿宋" w:hAnsi="仿宋" w:eastAsia="仿宋" w:cs="仿宋"/>
          <w:b/>
          <w:color w:val="auto"/>
          <w:sz w:val="24"/>
          <w:lang w:eastAsia="zh-CN"/>
        </w:rPr>
        <w:t>（</w:t>
      </w:r>
      <w:r>
        <w:rPr>
          <w:rFonts w:hint="eastAsia" w:ascii="仿宋" w:hAnsi="仿宋" w:eastAsia="仿宋" w:cs="仿宋"/>
          <w:b/>
          <w:color w:val="auto"/>
          <w:sz w:val="24"/>
          <w:lang w:val="en-US" w:eastAsia="zh-CN"/>
        </w:rPr>
        <w:t>如适用</w:t>
      </w:r>
      <w:r>
        <w:rPr>
          <w:rFonts w:hint="eastAsia" w:ascii="仿宋" w:hAnsi="仿宋" w:eastAsia="仿宋" w:cs="仿宋"/>
          <w:b/>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9.1乙方为履行服务合同提供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ascii="仿宋" w:hAnsi="仿宋" w:eastAsia="仿宋" w:cs="仿宋"/>
          <w:color w:val="auto"/>
        </w:rPr>
      </w:pPr>
      <w:r>
        <w:rPr>
          <w:rFonts w:hint="eastAsia" w:ascii="仿宋" w:hAnsi="仿宋" w:eastAsia="仿宋" w:cs="仿宋"/>
          <w:color w:val="auto"/>
          <w:sz w:val="24"/>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10 履约保证金（服务类项目根据考核结果按月或按季支付的项目可不设）</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10.1 招标文件要求乙方提交履约保证金的，乙方应按</w:t>
      </w:r>
      <w:r>
        <w:rPr>
          <w:rFonts w:hint="eastAsia" w:ascii="仿宋" w:hAnsi="仿宋" w:eastAsia="仿宋" w:cs="仿宋"/>
          <w:color w:val="auto"/>
          <w:sz w:val="24"/>
          <w:u w:val="single"/>
        </w:rPr>
        <w:t xml:space="preserve">         </w:t>
      </w:r>
      <w:r>
        <w:rPr>
          <w:rFonts w:hint="eastAsia" w:ascii="仿宋" w:hAnsi="仿宋" w:eastAsia="仿宋" w:cs="仿宋"/>
          <w:color w:val="auto"/>
          <w:sz w:val="24"/>
        </w:rPr>
        <w:t>方式（可以支票、汇票、本票或者银行保函等非现金形式），在合同签订并生效后</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日内提交不超过合同金额1%的履约保证金。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10.2  履约保证金在</w:t>
      </w:r>
      <w:r>
        <w:rPr>
          <w:rFonts w:hint="eastAsia" w:ascii="仿宋" w:hAnsi="仿宋" w:eastAsia="仿宋" w:cs="仿宋"/>
          <w:b/>
          <w:i/>
          <w:color w:val="auto"/>
          <w:u w:val="single"/>
        </w:rPr>
        <w:t xml:space="preserve">              </w:t>
      </w:r>
      <w:r>
        <w:rPr>
          <w:rFonts w:hint="eastAsia" w:ascii="仿宋" w:hAnsi="仿宋" w:eastAsia="仿宋" w:cs="仿宋"/>
          <w:color w:val="auto"/>
          <w:sz w:val="24"/>
        </w:rPr>
        <w:t>（合同规定的履约时间）内不予退还。乙方在前述约定期间届满前能履行完合同约定义务事项的，甲方在前述约定期间届满之日起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个工作日内，将履约保证金无息退还乙方。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adjustRightIn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11 定期考核和问题反馈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11.1甲方有权定期对乙方提供的服务履约情况进行检查与考核（考核标准见附件），以确保乙方所提供的服务能够依约满足甲方之项目需求，但不得因履约检查妨碍乙方的正常工作，乙方应予积极配合；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11.2 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12 项目验收</w:t>
      </w:r>
    </w:p>
    <w:p>
      <w:pPr>
        <w:tabs>
          <w:tab w:val="left" w:pos="360"/>
          <w:tab w:val="left" w:pos="540"/>
          <w:tab w:val="left" w:pos="1080"/>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12.1合同期满或者履行完毕后，甲方应当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13 技术资料和保密义务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13.1 乙方有权依据合同约定和项目需要，向甲方了解有关情况，调阅有关资料等，甲方应予积极配合；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13.2 乙方有义务妥善保管和保护由甲方提供的前款信息和资料等；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14 质量保证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14.1 乙方应建立和完善履行合同的内部质量保证体系，并提供相关内部规章制度给甲方，以便甲方进行监督检查；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15 履约的风险负担</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在履行合同时，乙方服务人员及设备的相关风险均由乙方自行承担。</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16 延迟交货</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完成服务的情况，应及时以书面形式将不能按时完成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17 合同变更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18 合同转让和分包</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18.2乙方采取分包方式履行合同的，由乙方向分包供应商支付款项，但不得因分包影响履行合同义务。</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19 违约责任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19.1 除不可抗力外，如果乙方拒绝履行合同，或没有按照本合同约定的期限、标准和成果展现方式完成服务，那么甲方可要求乙方支付违约金，违约金按每日计合同总价的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%，最高限额为本合同总价的</w:t>
      </w:r>
      <w:r>
        <w:rPr>
          <w:rFonts w:hint="eastAsia" w:ascii="仿宋" w:hAnsi="仿宋" w:eastAsia="仿宋" w:cs="仿宋"/>
          <w:color w:val="auto"/>
          <w:sz w:val="24"/>
          <w:u w:val="single"/>
        </w:rPr>
        <w:t xml:space="preserve"> 10  </w:t>
      </w:r>
      <w:r>
        <w:rPr>
          <w:rFonts w:hint="eastAsia" w:ascii="仿宋" w:hAnsi="仿宋" w:eastAsia="仿宋" w:cs="仿宋"/>
          <w:color w:val="auto"/>
          <w:sz w:val="24"/>
        </w:rPr>
        <w:t>%；迟延完成服务的违约金计算数额达到前述最高限额之日起，甲方有权在要求乙方支付违约金的同时，书面通知乙方</w:t>
      </w:r>
      <w:r>
        <w:rPr>
          <w:rFonts w:hint="eastAsia" w:ascii="仿宋" w:hAnsi="仿宋" w:eastAsia="仿宋" w:cs="仿宋"/>
          <w:color w:val="auto"/>
          <w:sz w:val="24"/>
          <w:lang w:val="en-US" w:eastAsia="zh-CN"/>
        </w:rPr>
        <w:t>并</w:t>
      </w:r>
      <w:r>
        <w:rPr>
          <w:rFonts w:hint="eastAsia" w:ascii="仿宋" w:hAnsi="仿宋" w:eastAsia="仿宋" w:cs="仿宋"/>
          <w:color w:val="auto"/>
          <w:sz w:val="24"/>
        </w:rPr>
        <w:t>解除本合同；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10   </w:t>
      </w:r>
      <w:r>
        <w:rPr>
          <w:rFonts w:hint="eastAsia" w:ascii="仿宋" w:hAnsi="仿宋" w:eastAsia="仿宋" w:cs="仿宋"/>
          <w:color w:val="auto"/>
          <w:sz w:val="24"/>
        </w:rPr>
        <w:t>%；迟延付款的违约金计算数额达到前述最高限额之日起，乙方有权在要求甲方支付违约金的同时，书面通知甲方</w:t>
      </w:r>
      <w:r>
        <w:rPr>
          <w:rFonts w:hint="eastAsia" w:ascii="仿宋" w:hAnsi="仿宋" w:eastAsia="仿宋" w:cs="仿宋"/>
          <w:color w:val="auto"/>
          <w:sz w:val="24"/>
          <w:lang w:val="en-US" w:eastAsia="zh-CN"/>
        </w:rPr>
        <w:t>并</w:t>
      </w:r>
      <w:r>
        <w:rPr>
          <w:rFonts w:hint="eastAsia" w:ascii="仿宋" w:hAnsi="仿宋" w:eastAsia="仿宋" w:cs="仿宋"/>
          <w:color w:val="auto"/>
          <w:sz w:val="24"/>
        </w:rPr>
        <w:t>解除本合同；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w:t>
      </w:r>
      <w:r>
        <w:rPr>
          <w:rFonts w:hint="eastAsia" w:ascii="仿宋" w:hAnsi="仿宋" w:eastAsia="仿宋" w:cs="仿宋"/>
          <w:color w:val="auto"/>
          <w:sz w:val="24"/>
          <w:lang w:val="en-US" w:eastAsia="zh-CN"/>
        </w:rPr>
        <w:t>并</w:t>
      </w:r>
      <w:r>
        <w:rPr>
          <w:rFonts w:hint="eastAsia" w:ascii="仿宋" w:hAnsi="仿宋" w:eastAsia="仿宋" w:cs="仿宋"/>
          <w:color w:val="auto"/>
          <w:sz w:val="24"/>
        </w:rPr>
        <w:t>解除本合同；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20 不可抗力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20.2 因不可抗力致使不能实现合同目的的，当事人可以解除合同；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20.3 因不可抗力致使合同有变更必要的，双方当事人应在不可抗力发生后</w:t>
      </w:r>
      <w:r>
        <w:rPr>
          <w:rFonts w:hint="eastAsia" w:ascii="仿宋" w:hAnsi="仿宋" w:eastAsia="仿宋" w:cs="仿宋"/>
          <w:color w:val="auto"/>
          <w:sz w:val="24"/>
          <w:u w:val="single"/>
        </w:rPr>
        <w:t xml:space="preserve"> 10 </w:t>
      </w:r>
      <w:r>
        <w:rPr>
          <w:rFonts w:hint="eastAsia" w:ascii="仿宋" w:hAnsi="仿宋" w:eastAsia="仿宋" w:cs="仿宋"/>
          <w:color w:val="auto"/>
          <w:sz w:val="24"/>
        </w:rPr>
        <w:t>日内以书面形式变更合同；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20.4受不可抗力影响的一方在不可抗力发生后，应在</w:t>
      </w:r>
      <w:r>
        <w:rPr>
          <w:rFonts w:hint="eastAsia" w:ascii="仿宋" w:hAnsi="仿宋" w:eastAsia="仿宋" w:cs="仿宋"/>
          <w:color w:val="auto"/>
          <w:sz w:val="24"/>
          <w:u w:val="single"/>
        </w:rPr>
        <w:t xml:space="preserve">  5  </w:t>
      </w:r>
      <w:r>
        <w:rPr>
          <w:rFonts w:hint="eastAsia" w:ascii="仿宋" w:hAnsi="仿宋" w:eastAsia="仿宋" w:cs="仿宋"/>
          <w:color w:val="auto"/>
          <w:sz w:val="24"/>
        </w:rPr>
        <w:t>日内以书面形式通知对方当事人，并在</w:t>
      </w:r>
      <w:r>
        <w:rPr>
          <w:rFonts w:hint="eastAsia" w:ascii="仿宋" w:hAnsi="仿宋" w:eastAsia="仿宋" w:cs="仿宋"/>
          <w:color w:val="auto"/>
          <w:sz w:val="24"/>
          <w:u w:val="single"/>
        </w:rPr>
        <w:t xml:space="preserve">  15  </w:t>
      </w:r>
      <w:r>
        <w:rPr>
          <w:rFonts w:hint="eastAsia" w:ascii="仿宋" w:hAnsi="仿宋" w:eastAsia="仿宋" w:cs="仿宋"/>
          <w:color w:val="auto"/>
          <w:sz w:val="24"/>
        </w:rPr>
        <w:t>日内，将有关部门出具的证明文件送达对方当事人。</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21 税费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22 乙方破产</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23 合同争议的解决</w:t>
      </w:r>
    </w:p>
    <w:p>
      <w:pPr>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本合同履行过程中发生的任何争议，双方当事人均可通过和解或者调解解决；不愿和解、调解或者和解、调解不成的，可以向宁波市奉化区人民法院提起诉讼。</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24 合同中止、终止</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24.1 双方当事人不得擅自中止或者终止合同；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25 通知和送达</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25.1任何一方因履行合同而以合同第一部分尾部所列明的传真或电子邮件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26 计量单位</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27合同使用的文字和适用的法律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27.1 合同使用汉语书就、变更和解释；</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27.2 合同适用中华人民共和国法律。</w:t>
      </w:r>
    </w:p>
    <w:p>
      <w:pPr>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28合同效力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本合同一式四份，甲乙双方各两份，每份均具有同等法律效力。本合同自双方当事人盖章或者签字时生效。</w:t>
      </w:r>
    </w:p>
    <w:p>
      <w:pPr>
        <w:autoSpaceDE w:val="0"/>
        <w:autoSpaceDN w:val="0"/>
        <w:spacing w:line="360" w:lineRule="auto"/>
        <w:rPr>
          <w:rFonts w:ascii="仿宋" w:hAnsi="仿宋" w:eastAsia="仿宋" w:cs="仿宋"/>
          <w:color w:val="auto"/>
          <w:sz w:val="24"/>
          <w:lang w:val="zh-CN"/>
        </w:rPr>
      </w:pPr>
    </w:p>
    <w:p>
      <w:pPr>
        <w:autoSpaceDE w:val="0"/>
        <w:autoSpaceDN w:val="0"/>
        <w:spacing w:line="360" w:lineRule="auto"/>
        <w:rPr>
          <w:rFonts w:ascii="仿宋" w:hAnsi="仿宋" w:eastAsia="仿宋" w:cs="仿宋"/>
          <w:b/>
          <w:color w:val="auto"/>
          <w:sz w:val="24"/>
          <w:lang w:val="zh-CN"/>
        </w:rPr>
      </w:pP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b/>
          <w:color w:val="auto"/>
          <w:sz w:val="24"/>
          <w:lang w:val="zh-CN"/>
        </w:rPr>
        <w:t>甲方名称（公章）</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乙方名称（公章）</w:t>
      </w:r>
      <w:r>
        <w:rPr>
          <w:rFonts w:hint="eastAsia" w:ascii="仿宋" w:hAnsi="仿宋" w:eastAsia="仿宋" w:cs="仿宋"/>
          <w:color w:val="auto"/>
          <w:sz w:val="24"/>
          <w:lang w:val="zh-CN"/>
        </w:rPr>
        <w:t>：</w:t>
      </w:r>
    </w:p>
    <w:p>
      <w:pPr>
        <w:autoSpaceDE w:val="0"/>
        <w:autoSpaceDN w:val="0"/>
        <w:spacing w:line="360" w:lineRule="auto"/>
        <w:rPr>
          <w:rFonts w:ascii="仿宋" w:hAnsi="仿宋" w:eastAsia="仿宋" w:cs="仿宋"/>
          <w:color w:val="auto"/>
          <w:sz w:val="24"/>
          <w:lang w:val="zh-CN"/>
        </w:rPr>
      </w:pP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法定代表人或授权代表（签字）：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法定代表人或授权代表（签字）: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360" w:lineRule="auto"/>
        <w:rPr>
          <w:rFonts w:ascii="仿宋" w:hAnsi="仿宋" w:eastAsia="仿宋" w:cs="仿宋"/>
          <w:color w:val="auto"/>
          <w:sz w:val="24"/>
        </w:rPr>
      </w:pPr>
      <w:r>
        <w:rPr>
          <w:rFonts w:hint="eastAsia" w:ascii="仿宋" w:hAnsi="仿宋" w:eastAsia="仿宋" w:cs="仿宋"/>
          <w:color w:val="auto"/>
          <w:sz w:val="24"/>
          <w:lang w:val="zh-CN"/>
        </w:rPr>
        <w:t>传真:                                    传真:</w:t>
      </w:r>
    </w:p>
    <w:p>
      <w:pPr>
        <w:pStyle w:val="20"/>
        <w:spacing w:line="360" w:lineRule="auto"/>
        <w:ind w:firstLine="480"/>
        <w:rPr>
          <w:rFonts w:ascii="仿宋" w:hAnsi="仿宋" w:eastAsia="仿宋" w:cs="仿宋"/>
          <w:color w:val="auto"/>
          <w:sz w:val="24"/>
        </w:rPr>
      </w:pPr>
    </w:p>
    <w:p>
      <w:pPr>
        <w:pStyle w:val="20"/>
        <w:spacing w:line="360" w:lineRule="auto"/>
        <w:ind w:firstLine="0" w:firstLineChars="0"/>
        <w:rPr>
          <w:rFonts w:ascii="仿宋" w:hAnsi="仿宋" w:eastAsia="仿宋" w:cs="仿宋"/>
          <w:b/>
          <w:bCs/>
          <w:color w:val="auto"/>
          <w:sz w:val="24"/>
          <w:lang w:val="zh-CN"/>
        </w:rPr>
      </w:pPr>
      <w:r>
        <w:rPr>
          <w:rFonts w:hint="eastAsia" w:ascii="仿宋" w:hAnsi="仿宋" w:eastAsia="仿宋" w:cs="仿宋"/>
          <w:b/>
          <w:bCs/>
          <w:color w:val="auto"/>
          <w:sz w:val="24"/>
        </w:rPr>
        <w:t>见证人：采购代理机构名称</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住所：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法定代表人或授权代表（签字）：       </w:t>
      </w:r>
      <w:r>
        <w:rPr>
          <w:rFonts w:hint="eastAsia" w:ascii="仿宋" w:hAnsi="仿宋" w:eastAsia="仿宋" w:cs="仿宋"/>
          <w:color w:val="auto"/>
          <w:sz w:val="24"/>
        </w:rPr>
        <w:t xml:space="preserve"> </w:t>
      </w:r>
    </w:p>
    <w:p>
      <w:pPr>
        <w:autoSpaceDE w:val="0"/>
        <w:autoSpaceDN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联系人：                                                                    </w:t>
      </w:r>
    </w:p>
    <w:p>
      <w:pPr>
        <w:rPr>
          <w:color w:val="auto"/>
        </w:rPr>
      </w:pPr>
      <w:r>
        <w:rPr>
          <w:rFonts w:hint="eastAsia" w:ascii="仿宋" w:hAnsi="仿宋" w:eastAsia="仿宋" w:cs="仿宋"/>
          <w:color w:val="auto"/>
          <w:sz w:val="24"/>
          <w:lang w:val="zh-CN"/>
        </w:rPr>
        <w:t xml:space="preserve">电话: </w:t>
      </w:r>
      <w:r>
        <w:rPr>
          <w:color w:val="auto"/>
        </w:rPr>
        <w:br w:type="page"/>
      </w:r>
    </w:p>
    <w:p>
      <w:pPr>
        <w:spacing w:line="360" w:lineRule="auto"/>
        <w:rPr>
          <w:rFonts w:ascii="Arial" w:hAnsi="Arial" w:eastAsia="宋体" w:cs="Arial"/>
          <w:b/>
          <w:color w:val="auto"/>
          <w:kern w:val="0"/>
          <w:sz w:val="30"/>
          <w:szCs w:val="30"/>
          <w:lang w:bidi="ar"/>
        </w:rPr>
      </w:pPr>
      <w:r>
        <w:rPr>
          <w:rFonts w:hint="eastAsia" w:ascii="Arial" w:hAnsi="Arial" w:eastAsia="宋体" w:cs="Arial"/>
          <w:b/>
          <w:color w:val="auto"/>
          <w:kern w:val="0"/>
          <w:sz w:val="30"/>
          <w:szCs w:val="30"/>
          <w:lang w:val="en-US" w:eastAsia="zh-CN" w:bidi="ar"/>
        </w:rPr>
        <w:t>工程</w:t>
      </w:r>
      <w:r>
        <w:rPr>
          <w:rFonts w:hint="eastAsia" w:ascii="Arial" w:hAnsi="Arial" w:eastAsia="宋体" w:cs="Arial"/>
          <w:b/>
          <w:color w:val="auto"/>
          <w:kern w:val="0"/>
          <w:sz w:val="30"/>
          <w:szCs w:val="30"/>
          <w:lang w:bidi="ar"/>
        </w:rPr>
        <w:t>类合同模板：</w:t>
      </w:r>
    </w:p>
    <w:p>
      <w:pPr>
        <w:shd w:val="clear" w:color="auto" w:fill="auto"/>
        <w:spacing w:line="360" w:lineRule="auto"/>
        <w:jc w:val="center"/>
        <w:rPr>
          <w:rFonts w:hint="eastAsia" w:ascii="宋体" w:hAnsi="宋体" w:cs="宋体"/>
          <w:b/>
          <w:color w:val="auto"/>
          <w:sz w:val="36"/>
          <w:szCs w:val="36"/>
        </w:rPr>
      </w:pPr>
      <w:r>
        <w:rPr>
          <w:rFonts w:hint="eastAsia" w:ascii="宋体" w:hAnsi="宋体" w:cs="宋体"/>
          <w:b/>
          <w:color w:val="auto"/>
          <w:sz w:val="36"/>
          <w:szCs w:val="36"/>
        </w:rPr>
        <w:t xml:space="preserve">政府采购合同 </w:t>
      </w:r>
    </w:p>
    <w:p>
      <w:pPr>
        <w:shd w:val="clear" w:color="auto" w:fill="auto"/>
        <w:spacing w:line="360" w:lineRule="auto"/>
        <w:jc w:val="center"/>
        <w:rPr>
          <w:rFonts w:hint="eastAsia" w:ascii="宋体" w:hAnsi="宋体" w:cs="宋体"/>
          <w:b/>
          <w:color w:val="auto"/>
          <w:sz w:val="36"/>
          <w:szCs w:val="36"/>
        </w:rPr>
      </w:pPr>
      <w:r>
        <w:rPr>
          <w:rFonts w:hint="eastAsia" w:ascii="宋体" w:hAnsi="宋体" w:cs="宋体"/>
          <w:b/>
          <w:color w:val="auto"/>
          <w:sz w:val="36"/>
          <w:szCs w:val="36"/>
        </w:rPr>
        <w:t>（工程类）</w:t>
      </w:r>
    </w:p>
    <w:p>
      <w:pPr>
        <w:pStyle w:val="21"/>
        <w:shd w:val="clear" w:color="auto" w:fill="auto"/>
        <w:ind w:left="0" w:leftChars="0" w:firstLine="0" w:firstLineChars="0"/>
        <w:rPr>
          <w:rFonts w:hint="eastAsia" w:ascii="宋体" w:hAnsi="宋体" w:cs="宋体"/>
          <w:color w:val="auto"/>
          <w:szCs w:val="24"/>
        </w:rPr>
      </w:pPr>
    </w:p>
    <w:p>
      <w:pPr>
        <w:pStyle w:val="21"/>
        <w:shd w:val="clear" w:color="auto" w:fill="auto"/>
        <w:rPr>
          <w:rFonts w:hint="eastAsia" w:ascii="宋体" w:hAnsi="宋体" w:cs="宋体"/>
          <w:color w:val="auto"/>
          <w:szCs w:val="24"/>
        </w:rPr>
      </w:pPr>
    </w:p>
    <w:p>
      <w:pPr>
        <w:pStyle w:val="21"/>
        <w:shd w:val="clear" w:color="auto" w:fill="auto"/>
        <w:ind w:left="0" w:leftChars="0" w:firstLine="0" w:firstLineChars="0"/>
        <w:rPr>
          <w:rFonts w:hint="eastAsia" w:ascii="宋体" w:hAnsi="宋体" w:cs="宋体"/>
          <w:color w:val="auto"/>
          <w:szCs w:val="24"/>
        </w:rPr>
      </w:pPr>
    </w:p>
    <w:p>
      <w:pPr>
        <w:shd w:val="clear" w:color="auto" w:fill="auto"/>
        <w:spacing w:before="120" w:line="360" w:lineRule="auto"/>
        <w:rPr>
          <w:rFonts w:hint="eastAsia" w:ascii="宋体" w:hAnsi="宋体" w:cs="宋体"/>
          <w:color w:val="auto"/>
          <w:sz w:val="24"/>
        </w:rPr>
      </w:pPr>
    </w:p>
    <w:p>
      <w:pPr>
        <w:shd w:val="clear" w:color="auto" w:fill="auto"/>
        <w:spacing w:before="120" w:line="360" w:lineRule="auto"/>
        <w:ind w:left="960" w:firstLine="720" w:firstLineChars="300"/>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22"/>
        <w:shd w:val="clear" w:color="auto" w:fill="auto"/>
        <w:spacing w:before="120"/>
        <w:rPr>
          <w:rFonts w:hint="eastAsia" w:ascii="宋体" w:hAnsi="宋体" w:eastAsia="宋体" w:cs="宋体"/>
          <w:color w:val="auto"/>
          <w:szCs w:val="24"/>
        </w:rPr>
      </w:pPr>
    </w:p>
    <w:p>
      <w:pPr>
        <w:pStyle w:val="22"/>
        <w:shd w:val="clear" w:color="auto" w:fill="auto"/>
        <w:spacing w:before="120"/>
        <w:rPr>
          <w:rFonts w:hint="eastAsia" w:ascii="宋体" w:hAnsi="宋体" w:eastAsia="宋体" w:cs="宋体"/>
          <w:color w:val="auto"/>
          <w:szCs w:val="24"/>
        </w:rPr>
      </w:pPr>
    </w:p>
    <w:p>
      <w:pPr>
        <w:shd w:val="clear" w:color="auto" w:fill="auto"/>
        <w:spacing w:line="360" w:lineRule="auto"/>
        <w:rPr>
          <w:rFonts w:hint="eastAsia" w:ascii="宋体" w:hAnsi="宋体" w:cs="宋体"/>
          <w:color w:val="auto"/>
          <w:sz w:val="24"/>
        </w:rPr>
      </w:pPr>
    </w:p>
    <w:p>
      <w:pPr>
        <w:shd w:val="clear" w:color="auto" w:fill="auto"/>
        <w:spacing w:before="120" w:line="600" w:lineRule="auto"/>
        <w:ind w:left="960" w:firstLine="720" w:firstLineChars="300"/>
        <w:rPr>
          <w:rFonts w:hint="eastAsia"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hd w:val="clear" w:color="auto" w:fill="auto"/>
        <w:spacing w:before="120" w:line="600" w:lineRule="auto"/>
        <w:ind w:left="960" w:firstLine="720" w:firstLineChars="300"/>
        <w:rPr>
          <w:rFonts w:hint="eastAsia" w:ascii="宋体" w:hAnsi="宋体" w:cs="宋体"/>
          <w:color w:val="auto"/>
          <w:sz w:val="24"/>
        </w:rPr>
      </w:pPr>
      <w:r>
        <w:rPr>
          <w:rFonts w:hint="eastAsia" w:ascii="宋体" w:hAnsi="宋体" w:cs="宋体"/>
          <w:color w:val="auto"/>
          <w:sz w:val="24"/>
        </w:rPr>
        <w:t>乙方：</w:t>
      </w:r>
      <w:r>
        <w:rPr>
          <w:rFonts w:hint="eastAsia" w:ascii="宋体" w:hAnsi="宋体" w:cs="宋体"/>
          <w:color w:val="auto"/>
          <w:sz w:val="24"/>
          <w:u w:val="single"/>
        </w:rPr>
        <w:t xml:space="preserve">                                       </w:t>
      </w:r>
    </w:p>
    <w:p>
      <w:pPr>
        <w:shd w:val="clear" w:color="auto" w:fill="auto"/>
        <w:spacing w:before="120" w:line="600" w:lineRule="auto"/>
        <w:ind w:firstLine="1680" w:firstLineChars="700"/>
        <w:rPr>
          <w:rFonts w:hint="eastAsia" w:ascii="宋体" w:hAnsi="宋体" w:cs="宋体"/>
          <w:color w:val="auto"/>
          <w:sz w:val="24"/>
        </w:rPr>
      </w:pPr>
      <w:r>
        <w:rPr>
          <w:rFonts w:hint="eastAsia" w:ascii="宋体" w:hAnsi="宋体" w:cs="宋体"/>
          <w:color w:val="auto"/>
          <w:sz w:val="24"/>
        </w:rPr>
        <w:t>签订地：</w:t>
      </w:r>
      <w:r>
        <w:rPr>
          <w:rFonts w:hint="eastAsia" w:ascii="宋体" w:hAnsi="宋体" w:cs="宋体"/>
          <w:color w:val="auto"/>
          <w:sz w:val="24"/>
          <w:u w:val="single"/>
        </w:rPr>
        <w:t xml:space="preserve">                                     </w:t>
      </w:r>
    </w:p>
    <w:p>
      <w:pPr>
        <w:shd w:val="clear" w:color="auto" w:fill="auto"/>
        <w:spacing w:before="120" w:line="600" w:lineRule="auto"/>
        <w:ind w:firstLine="1680" w:firstLineChars="7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hd w:val="clear" w:color="auto" w:fill="auto"/>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u w:val="single"/>
          <w:lang w:val="zh-CN"/>
        </w:rPr>
        <w:br w:type="page"/>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r>
        <w:rPr>
          <w:rFonts w:hint="eastAsia" w:ascii="宋体" w:hAnsi="宋体" w:cs="宋体"/>
          <w:color w:val="auto"/>
          <w:sz w:val="24"/>
          <w:u w:val="single"/>
          <w:lang w:val="zh-CN"/>
        </w:rPr>
        <w:t xml:space="preserve">   （采购人）   </w:t>
      </w:r>
      <w:r>
        <w:rPr>
          <w:rFonts w:hint="eastAsia" w:ascii="宋体" w:hAnsi="宋体" w:cs="宋体"/>
          <w:color w:val="auto"/>
          <w:sz w:val="24"/>
          <w:lang w:val="zh-CN"/>
        </w:rPr>
        <w:t>以</w:t>
      </w:r>
      <w:r>
        <w:rPr>
          <w:rFonts w:hint="eastAsia" w:ascii="宋体" w:hAnsi="宋体" w:cs="宋体"/>
          <w:color w:val="auto"/>
          <w:sz w:val="24"/>
          <w:u w:val="single"/>
          <w:lang w:val="zh-CN"/>
        </w:rPr>
        <w:t xml:space="preserve">   （政府采购方式）  </w:t>
      </w:r>
      <w:r>
        <w:rPr>
          <w:rFonts w:hint="eastAsia" w:ascii="宋体" w:hAnsi="宋体" w:cs="宋体"/>
          <w:color w:val="auto"/>
          <w:sz w:val="24"/>
          <w:lang w:val="zh-CN"/>
        </w:rPr>
        <w:t>对</w:t>
      </w:r>
      <w:r>
        <w:rPr>
          <w:rFonts w:hint="eastAsia" w:ascii="宋体" w:hAnsi="宋体" w:cs="宋体"/>
          <w:color w:val="auto"/>
          <w:sz w:val="24"/>
          <w:u w:val="single"/>
        </w:rPr>
        <w:t xml:space="preserve">  </w:t>
      </w:r>
      <w:r>
        <w:rPr>
          <w:rFonts w:hint="eastAsia" w:ascii="宋体" w:hAnsi="宋体" w:cs="宋体"/>
          <w:color w:val="auto"/>
          <w:sz w:val="24"/>
          <w:u w:val="single"/>
          <w:lang w:val="zh-CN"/>
        </w:rPr>
        <w:t>）</w:t>
      </w:r>
      <w:r>
        <w:rPr>
          <w:rFonts w:hint="eastAsia" w:ascii="宋体" w:hAnsi="宋体" w:cs="宋体"/>
          <w:color w:val="auto"/>
          <w:sz w:val="24"/>
          <w:lang w:val="zh-CN"/>
        </w:rPr>
        <w:t>项目进行了采购。经</w:t>
      </w:r>
      <w:r>
        <w:rPr>
          <w:rFonts w:hint="eastAsia" w:ascii="宋体" w:hAnsi="宋体" w:cs="宋体"/>
          <w:color w:val="auto"/>
          <w:sz w:val="24"/>
          <w:u w:val="single"/>
          <w:lang w:val="zh-CN"/>
        </w:rPr>
        <w:t xml:space="preserve">   （相关评定主体名称）   </w:t>
      </w:r>
      <w:r>
        <w:rPr>
          <w:rFonts w:hint="eastAsia" w:ascii="宋体" w:hAnsi="宋体" w:cs="宋体"/>
          <w:color w:val="auto"/>
          <w:sz w:val="24"/>
          <w:lang w:val="zh-CN"/>
        </w:rPr>
        <w:t>评定，</w:t>
      </w:r>
      <w:r>
        <w:rPr>
          <w:rFonts w:hint="eastAsia" w:ascii="宋体" w:hAnsi="宋体" w:cs="宋体"/>
          <w:color w:val="auto"/>
          <w:sz w:val="24"/>
          <w:u w:val="single"/>
          <w:lang w:val="zh-CN"/>
        </w:rPr>
        <w:t xml:space="preserve">   （中标供应商名称）</w:t>
      </w:r>
      <w:r>
        <w:rPr>
          <w:rFonts w:hint="eastAsia" w:ascii="宋体" w:hAnsi="宋体" w:cs="宋体"/>
          <w:color w:val="auto"/>
          <w:sz w:val="24"/>
          <w:lang w:val="zh-CN"/>
        </w:rPr>
        <w:t>为该项目中标供应商。现于中标通知书发出之日起三十日内，按照采购文件确定的事项签订本合同。</w:t>
      </w:r>
    </w:p>
    <w:p>
      <w:pPr>
        <w:shd w:val="clear" w:color="auto" w:fill="auto"/>
        <w:spacing w:line="360" w:lineRule="auto"/>
        <w:ind w:firstLine="480" w:firstLineChars="200"/>
        <w:rPr>
          <w:rFonts w:hint="eastAsia" w:ascii="宋体" w:hAnsi="宋体" w:cs="宋体"/>
          <w:color w:val="auto"/>
          <w:sz w:val="24"/>
        </w:rPr>
      </w:pPr>
      <w:r>
        <w:rPr>
          <w:rFonts w:hint="eastAsia" w:ascii="宋体" w:hAnsi="宋体" w:cs="宋体"/>
          <w:color w:val="auto"/>
          <w:sz w:val="24"/>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u w:val="single"/>
        </w:rPr>
        <w:t xml:space="preserve">   （采购人）   </w:t>
      </w:r>
      <w:r>
        <w:rPr>
          <w:rFonts w:hint="eastAsia" w:ascii="宋体" w:hAnsi="宋体" w:cs="宋体"/>
          <w:color w:val="auto"/>
          <w:sz w:val="24"/>
          <w:lang w:val="zh-CN"/>
        </w:rPr>
        <w:t>(以下简称：甲方)和</w:t>
      </w:r>
      <w:r>
        <w:rPr>
          <w:rFonts w:hint="eastAsia" w:ascii="宋体" w:hAnsi="宋体" w:cs="宋体"/>
          <w:color w:val="auto"/>
          <w:sz w:val="24"/>
          <w:u w:val="single"/>
        </w:rPr>
        <w:t xml:space="preserve">   （中标供应商名称）   </w:t>
      </w:r>
      <w:r>
        <w:rPr>
          <w:rFonts w:hint="eastAsia" w:ascii="宋体" w:hAnsi="宋体" w:cs="宋体"/>
          <w:color w:val="auto"/>
          <w:sz w:val="24"/>
          <w:lang w:val="zh-CN"/>
        </w:rPr>
        <w:t>(以下简称：乙方)协商一致，约定以下合同</w:t>
      </w:r>
      <w:r>
        <w:rPr>
          <w:rFonts w:hint="eastAsia" w:ascii="宋体" w:hAnsi="宋体" w:cs="宋体"/>
          <w:color w:val="auto"/>
          <w:sz w:val="24"/>
        </w:rPr>
        <w:t>条款，以兹共同遵守、全面履行。</w:t>
      </w:r>
    </w:p>
    <w:p>
      <w:pPr>
        <w:shd w:val="clear" w:color="auto" w:fill="auto"/>
        <w:spacing w:line="360" w:lineRule="auto"/>
        <w:jc w:val="center"/>
        <w:outlineLvl w:val="1"/>
        <w:rPr>
          <w:rFonts w:hint="eastAsia" w:eastAsia="黑体"/>
          <w:color w:val="auto"/>
          <w:sz w:val="32"/>
        </w:rPr>
      </w:pPr>
      <w:bookmarkStart w:id="21" w:name="_Toc448490238"/>
      <w:bookmarkStart w:id="22" w:name="_Toc447874966"/>
      <w:r>
        <w:rPr>
          <w:rFonts w:hint="eastAsia" w:eastAsia="黑体"/>
          <w:color w:val="auto"/>
          <w:sz w:val="32"/>
        </w:rPr>
        <w:t>第一部分  协 议 书</w:t>
      </w:r>
      <w:bookmarkEnd w:id="21"/>
      <w:bookmarkEnd w:id="22"/>
    </w:p>
    <w:p>
      <w:pPr>
        <w:shd w:val="clear" w:color="auto" w:fill="auto"/>
        <w:spacing w:line="360" w:lineRule="auto"/>
        <w:rPr>
          <w:rFonts w:hint="eastAsia" w:ascii="宋体" w:hAnsi="宋体" w:eastAsia="黑体"/>
          <w:color w:val="auto"/>
          <w:sz w:val="24"/>
        </w:rPr>
      </w:pPr>
      <w:r>
        <w:rPr>
          <w:rFonts w:hint="eastAsia" w:ascii="宋体" w:hAnsi="宋体" w:eastAsia="黑体"/>
          <w:color w:val="auto"/>
          <w:sz w:val="24"/>
        </w:rPr>
        <w:t xml:space="preserve">发包人（甲方）： </w:t>
      </w:r>
    </w:p>
    <w:p>
      <w:pPr>
        <w:shd w:val="clear" w:color="auto" w:fill="auto"/>
        <w:spacing w:line="360" w:lineRule="auto"/>
        <w:rPr>
          <w:rFonts w:hint="eastAsia" w:ascii="宋体" w:hAnsi="宋体" w:eastAsia="黑体"/>
          <w:color w:val="auto"/>
          <w:sz w:val="24"/>
          <w:u w:val="single"/>
        </w:rPr>
      </w:pPr>
      <w:r>
        <w:rPr>
          <w:rFonts w:hint="eastAsia" w:ascii="宋体" w:hAnsi="宋体" w:eastAsia="黑体"/>
          <w:color w:val="auto"/>
          <w:sz w:val="24"/>
        </w:rPr>
        <w:t>承包人（乙方）：</w:t>
      </w:r>
    </w:p>
    <w:p>
      <w:pPr>
        <w:shd w:val="clear" w:color="auto" w:fill="auto"/>
        <w:spacing w:line="360" w:lineRule="auto"/>
        <w:ind w:firstLine="480" w:firstLineChars="200"/>
        <w:rPr>
          <w:rFonts w:hint="eastAsia" w:ascii="宋体" w:hAnsi="宋体"/>
          <w:color w:val="auto"/>
          <w:sz w:val="24"/>
        </w:rPr>
      </w:pPr>
      <w:r>
        <w:rPr>
          <w:rFonts w:hint="eastAsia" w:ascii="宋体" w:hAnsi="宋体"/>
          <w:color w:val="auto"/>
          <w:sz w:val="24"/>
        </w:rPr>
        <w:t>依照《</w:t>
      </w:r>
      <w:r>
        <w:rPr>
          <w:rFonts w:hint="eastAsia" w:ascii="宋体" w:hAnsi="宋体" w:cs="宋体"/>
          <w:color w:val="auto"/>
          <w:sz w:val="24"/>
          <w:lang w:val="zh-CN"/>
        </w:rPr>
        <w:t>中华人民共和国民法典</w:t>
      </w:r>
      <w:r>
        <w:rPr>
          <w:rFonts w:hint="eastAsia" w:ascii="宋体" w:hAnsi="宋体"/>
          <w:color w:val="auto"/>
          <w:sz w:val="24"/>
        </w:rPr>
        <w:t>》、《中华人民共和国建筑法》及其他有关法律、行政法规、遵循平等、自愿、公平和诚实信用的原则，</w:t>
      </w:r>
      <w:r>
        <w:rPr>
          <w:rFonts w:hint="eastAsia" w:ascii="宋体" w:hAnsi="宋体"/>
          <w:color w:val="auto"/>
          <w:sz w:val="24"/>
          <w:lang w:val="en-US" w:eastAsia="zh-CN"/>
        </w:rPr>
        <w:t>甲方</w:t>
      </w:r>
      <w:r>
        <w:rPr>
          <w:rFonts w:hint="eastAsia" w:ascii="宋体" w:hAnsi="宋体"/>
          <w:color w:val="auto"/>
          <w:sz w:val="24"/>
        </w:rPr>
        <w:t>和</w:t>
      </w:r>
      <w:r>
        <w:rPr>
          <w:rFonts w:hint="eastAsia" w:ascii="宋体" w:hAnsi="宋体"/>
          <w:color w:val="auto"/>
          <w:sz w:val="24"/>
          <w:lang w:val="en-US" w:eastAsia="zh-CN"/>
        </w:rPr>
        <w:t>乙方</w:t>
      </w:r>
      <w:r>
        <w:rPr>
          <w:rFonts w:hint="eastAsia" w:ascii="宋体" w:hAnsi="宋体"/>
          <w:color w:val="auto"/>
          <w:sz w:val="24"/>
        </w:rPr>
        <w:t>本着平等互利的原则，根据采购文件和成交通知书，按下述条款和条件签署本合同。</w:t>
      </w:r>
    </w:p>
    <w:p>
      <w:pPr>
        <w:shd w:val="clear" w:color="auto" w:fill="auto"/>
        <w:spacing w:line="360" w:lineRule="auto"/>
        <w:ind w:firstLine="480" w:firstLineChars="200"/>
        <w:rPr>
          <w:rFonts w:hint="eastAsia"/>
          <w:color w:val="auto"/>
          <w:sz w:val="22"/>
          <w:u w:val="single"/>
        </w:rPr>
      </w:pPr>
      <w:r>
        <w:rPr>
          <w:rFonts w:hint="eastAsia" w:ascii="宋体" w:hAnsi="宋体" w:eastAsia="黑体"/>
          <w:color w:val="auto"/>
          <w:sz w:val="24"/>
        </w:rPr>
        <w:t>一、工程概况</w:t>
      </w:r>
    </w:p>
    <w:p>
      <w:pPr>
        <w:spacing w:line="360" w:lineRule="auto"/>
        <w:ind w:firstLine="470" w:firstLineChars="196"/>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bCs/>
          <w:color w:val="auto"/>
          <w:sz w:val="24"/>
          <w:szCs w:val="24"/>
        </w:rPr>
        <w:t>1.工程名称</w:t>
      </w:r>
      <w:r>
        <w:rPr>
          <w:rFonts w:hint="eastAsia" w:asciiTheme="minorEastAsia" w:hAnsiTheme="minorEastAsia" w:eastAsiaTheme="minorEastAsia" w:cstheme="minorEastAsia"/>
          <w:color w:val="auto"/>
          <w:sz w:val="24"/>
          <w:szCs w:val="24"/>
        </w:rPr>
        <w:t>：</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70" w:firstLineChars="196"/>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2.工程地点：</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70" w:firstLineChars="196"/>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3.工程立项批准文号：</w:t>
      </w:r>
      <w:r>
        <w:rPr>
          <w:rFonts w:hint="eastAsia"/>
          <w:color w:val="auto"/>
          <w:u w:val="single"/>
          <w:lang w:val="en-US" w:eastAsia="zh-CN"/>
        </w:rPr>
        <w:t xml:space="preserve">                                  </w:t>
      </w:r>
      <w:r>
        <w:rPr>
          <w:rFonts w:hint="eastAsia" w:asciiTheme="minorEastAsia" w:hAnsiTheme="minorEastAsia" w:eastAsiaTheme="minorEastAsia" w:cstheme="minorEastAsia"/>
          <w:bCs/>
          <w:color w:val="auto"/>
          <w:sz w:val="24"/>
          <w:szCs w:val="24"/>
        </w:rPr>
        <w:t>。</w:t>
      </w:r>
    </w:p>
    <w:p>
      <w:pPr>
        <w:spacing w:line="360" w:lineRule="auto"/>
        <w:ind w:firstLine="470" w:firstLineChars="196"/>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4.资金来源：</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shd w:val="clear" w:color="auto" w:fill="auto"/>
        <w:spacing w:line="360" w:lineRule="auto"/>
        <w:ind w:left="0" w:leftChars="0" w:firstLine="420" w:firstLineChars="175"/>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5.工程内容：</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bCs/>
          <w:color w:val="auto"/>
          <w:sz w:val="24"/>
          <w:szCs w:val="24"/>
        </w:rPr>
        <w:t>。</w:t>
      </w:r>
    </w:p>
    <w:p>
      <w:pPr>
        <w:pStyle w:val="25"/>
        <w:shd w:val="clear" w:color="auto" w:fill="auto"/>
        <w:spacing w:line="360" w:lineRule="auto"/>
        <w:ind w:firstLine="480" w:firstLineChars="200"/>
        <w:rPr>
          <w:rFonts w:hint="default" w:eastAsiaTheme="minorEastAsia"/>
          <w:color w:val="auto"/>
          <w:lang w:val="en-US" w:eastAsia="zh-CN"/>
        </w:rPr>
      </w:pPr>
      <w:r>
        <w:rPr>
          <w:rFonts w:hint="eastAsia" w:eastAsia="黑体"/>
          <w:color w:val="auto"/>
          <w:sz w:val="24"/>
          <w:lang w:val="en-US" w:eastAsia="zh-CN"/>
        </w:rPr>
        <w:t>6.</w:t>
      </w:r>
      <w:r>
        <w:rPr>
          <w:rFonts w:hint="eastAsia"/>
          <w:color w:val="auto"/>
        </w:rPr>
        <w:t>承包范围：</w:t>
      </w:r>
      <w:r>
        <w:rPr>
          <w:rFonts w:hint="eastAsia"/>
          <w:color w:val="auto"/>
          <w:u w:val="single"/>
          <w:lang w:val="en-US" w:eastAsia="zh-CN"/>
        </w:rPr>
        <w:t xml:space="preserve">              </w:t>
      </w:r>
    </w:p>
    <w:p>
      <w:pPr>
        <w:shd w:val="clear" w:color="auto" w:fill="auto"/>
        <w:spacing w:line="360" w:lineRule="auto"/>
        <w:ind w:firstLine="480" w:firstLineChars="200"/>
        <w:rPr>
          <w:rFonts w:hint="eastAsia" w:ascii="宋体" w:hAnsi="宋体" w:eastAsia="黑体"/>
          <w:color w:val="auto"/>
          <w:sz w:val="24"/>
        </w:rPr>
      </w:pPr>
      <w:r>
        <w:rPr>
          <w:rFonts w:hint="eastAsia" w:ascii="宋体" w:hAnsi="宋体" w:eastAsia="黑体"/>
          <w:color w:val="auto"/>
          <w:sz w:val="24"/>
          <w:lang w:val="en-US" w:eastAsia="zh-CN"/>
        </w:rPr>
        <w:t>二</w:t>
      </w:r>
      <w:r>
        <w:rPr>
          <w:rFonts w:hint="eastAsia" w:ascii="宋体" w:hAnsi="宋体" w:eastAsia="黑体"/>
          <w:color w:val="auto"/>
          <w:sz w:val="24"/>
        </w:rPr>
        <w:t>、合同工期</w:t>
      </w:r>
    </w:p>
    <w:p>
      <w:pPr>
        <w:spacing w:line="360" w:lineRule="auto"/>
        <w:ind w:firstLine="45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计划开工日期：</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年</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月</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日。</w:t>
      </w:r>
    </w:p>
    <w:p>
      <w:pPr>
        <w:spacing w:line="360" w:lineRule="auto"/>
        <w:ind w:firstLine="45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计划竣工日期：</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年</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月</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日。</w:t>
      </w:r>
    </w:p>
    <w:p>
      <w:pPr>
        <w:shd w:val="clear" w:color="auto" w:fill="auto"/>
        <w:spacing w:line="360" w:lineRule="auto"/>
        <w:ind w:firstLine="460" w:firstLineChars="192"/>
        <w:rPr>
          <w:rFonts w:hint="eastAsia" w:ascii="宋体" w:hAnsi="宋体"/>
          <w:b/>
          <w:color w:val="auto"/>
          <w:sz w:val="24"/>
        </w:rPr>
      </w:pPr>
      <w:r>
        <w:rPr>
          <w:rFonts w:hint="eastAsia" w:asciiTheme="minorEastAsia" w:hAnsiTheme="minorEastAsia" w:eastAsiaTheme="minorEastAsia" w:cstheme="minorEastAsia"/>
          <w:color w:val="auto"/>
          <w:sz w:val="24"/>
          <w:szCs w:val="24"/>
        </w:rPr>
        <w:t>工期总日历天数：</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rPr>
        <w:t>天。工期总日历天数与根据前述计划开竣工日期计算的工期天数不一致的，以工期总日历天数为准。</w:t>
      </w:r>
    </w:p>
    <w:p>
      <w:pPr>
        <w:shd w:val="clear" w:color="auto" w:fill="auto"/>
        <w:spacing w:line="360" w:lineRule="auto"/>
        <w:ind w:firstLine="544" w:firstLineChars="227"/>
        <w:rPr>
          <w:rFonts w:hint="eastAsia" w:ascii="宋体" w:hAnsi="宋体"/>
          <w:color w:val="auto"/>
          <w:sz w:val="24"/>
        </w:rPr>
      </w:pPr>
      <w:r>
        <w:rPr>
          <w:rFonts w:hint="eastAsia" w:ascii="宋体" w:hAnsi="宋体" w:eastAsia="黑体"/>
          <w:color w:val="auto"/>
          <w:sz w:val="24"/>
          <w:lang w:val="en-US" w:eastAsia="zh-CN"/>
        </w:rPr>
        <w:t>三</w:t>
      </w:r>
      <w:r>
        <w:rPr>
          <w:rFonts w:hint="eastAsia" w:ascii="宋体" w:hAnsi="宋体" w:eastAsia="黑体"/>
          <w:color w:val="auto"/>
          <w:sz w:val="24"/>
        </w:rPr>
        <w:t>、质量</w:t>
      </w:r>
      <w:r>
        <w:rPr>
          <w:rFonts w:hint="eastAsia" w:ascii="宋体" w:hAnsi="宋体" w:eastAsia="黑体"/>
          <w:color w:val="auto"/>
          <w:sz w:val="24"/>
          <w:lang w:val="en-US" w:eastAsia="zh-CN"/>
        </w:rPr>
        <w:t>标准</w:t>
      </w:r>
      <w:r>
        <w:rPr>
          <w:rFonts w:hint="eastAsia" w:ascii="宋体" w:hAnsi="宋体" w:eastAsia="黑体"/>
          <w:color w:val="auto"/>
          <w:sz w:val="24"/>
        </w:rPr>
        <w:t>与安全要求</w:t>
      </w:r>
    </w:p>
    <w:p>
      <w:pPr>
        <w:shd w:val="clear" w:color="auto" w:fill="auto"/>
        <w:spacing w:line="360" w:lineRule="auto"/>
        <w:ind w:firstLine="523" w:firstLineChars="218"/>
        <w:rPr>
          <w:rFonts w:hint="eastAsia" w:ascii="宋体" w:hAnsi="宋体" w:eastAsiaTheme="minorEastAsia" w:cstheme="minorBidi"/>
          <w:color w:val="auto"/>
          <w:kern w:val="0"/>
          <w:sz w:val="24"/>
          <w:szCs w:val="24"/>
          <w:lang w:val="en-US" w:eastAsia="zh-CN" w:bidi="ar-SA"/>
        </w:rPr>
      </w:pPr>
      <w:r>
        <w:rPr>
          <w:rFonts w:hint="eastAsia" w:ascii="宋体" w:hAnsi="宋体" w:eastAsiaTheme="minorEastAsia" w:cstheme="minorBidi"/>
          <w:color w:val="auto"/>
          <w:kern w:val="0"/>
          <w:sz w:val="24"/>
          <w:szCs w:val="24"/>
          <w:lang w:val="en-US" w:eastAsia="zh-CN" w:bidi="ar-SA"/>
        </w:rPr>
        <w:t>1、工程质量符合</w:t>
      </w:r>
      <w:r>
        <w:rPr>
          <w:rFonts w:hint="eastAsia"/>
          <w:color w:val="auto"/>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宋体" w:hAnsi="宋体" w:eastAsiaTheme="minorEastAsia" w:cstheme="minorBidi"/>
          <w:color w:val="auto"/>
          <w:kern w:val="0"/>
          <w:sz w:val="24"/>
          <w:szCs w:val="24"/>
          <w:lang w:val="en-US" w:eastAsia="zh-CN" w:bidi="ar-SA"/>
        </w:rPr>
        <w:t>标准。</w:t>
      </w:r>
    </w:p>
    <w:p>
      <w:pPr>
        <w:shd w:val="clear" w:color="auto" w:fill="auto"/>
        <w:spacing w:line="360" w:lineRule="auto"/>
        <w:ind w:firstLine="523" w:firstLineChars="218"/>
        <w:rPr>
          <w:rFonts w:hint="eastAsia" w:ascii="宋体" w:hAnsi="宋体"/>
          <w:color w:val="auto"/>
          <w:sz w:val="24"/>
        </w:rPr>
      </w:pPr>
      <w:r>
        <w:rPr>
          <w:rFonts w:hint="eastAsia" w:ascii="宋体" w:hAnsi="宋体"/>
          <w:color w:val="auto"/>
          <w:sz w:val="24"/>
        </w:rPr>
        <w:t>2、工程安全要求：合格。</w:t>
      </w:r>
    </w:p>
    <w:p>
      <w:pPr>
        <w:shd w:val="clear" w:color="auto" w:fill="auto"/>
        <w:spacing w:line="360" w:lineRule="auto"/>
        <w:ind w:firstLine="544" w:firstLineChars="227"/>
        <w:rPr>
          <w:rFonts w:hint="eastAsia" w:ascii="宋体" w:hAnsi="宋体" w:eastAsia="黑体"/>
          <w:color w:val="auto"/>
          <w:sz w:val="24"/>
        </w:rPr>
      </w:pPr>
      <w:bookmarkStart w:id="23" w:name="_Toc351203484"/>
      <w:r>
        <w:rPr>
          <w:rFonts w:hint="eastAsia" w:ascii="宋体" w:hAnsi="宋体" w:eastAsia="黑体"/>
          <w:color w:val="auto"/>
          <w:sz w:val="24"/>
        </w:rPr>
        <w:t>四、签约合同价与合同价格形式</w:t>
      </w:r>
      <w:bookmarkEnd w:id="23"/>
      <w:r>
        <w:rPr>
          <w:rFonts w:hint="eastAsia" w:ascii="宋体" w:hAnsi="宋体" w:eastAsia="黑体"/>
          <w:color w:val="auto"/>
          <w:sz w:val="24"/>
        </w:rPr>
        <w:tab/>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1.签约合同价为：</w:t>
      </w:r>
    </w:p>
    <w:p>
      <w:pPr>
        <w:spacing w:line="360" w:lineRule="auto"/>
        <w:ind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其中：</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（1）安全文明施工费：</w:t>
      </w:r>
    </w:p>
    <w:p>
      <w:pPr>
        <w:spacing w:line="360" w:lineRule="auto"/>
        <w:ind w:firstLine="1080" w:firstLineChars="4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（2）材料和工程设备暂估价金额：</w:t>
      </w:r>
    </w:p>
    <w:p>
      <w:pPr>
        <w:spacing w:line="360" w:lineRule="auto"/>
        <w:ind w:firstLine="1080" w:firstLineChars="4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（3）专业工程暂估价金额：</w:t>
      </w:r>
    </w:p>
    <w:p>
      <w:pPr>
        <w:spacing w:line="360" w:lineRule="auto"/>
        <w:ind w:firstLine="1080" w:firstLineChars="4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（4）暂列金额：</w:t>
      </w:r>
    </w:p>
    <w:p>
      <w:pPr>
        <w:spacing w:line="360" w:lineRule="auto"/>
        <w:ind w:firstLine="1080" w:firstLineChars="4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2.合同价格形式：</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24" w:name="_Toc351203485"/>
      <w:r>
        <w:rPr>
          <w:rFonts w:hint="eastAsia" w:ascii="宋体" w:hAnsi="宋体" w:eastAsia="黑体"/>
          <w:color w:val="auto"/>
          <w:sz w:val="24"/>
        </w:rPr>
        <w:t>五、</w:t>
      </w:r>
      <w:bookmarkEnd w:id="24"/>
      <w:r>
        <w:rPr>
          <w:rFonts w:hint="eastAsia" w:ascii="宋体" w:hAnsi="宋体" w:eastAsia="黑体"/>
          <w:color w:val="auto"/>
          <w:sz w:val="24"/>
        </w:rPr>
        <w:t>项目经理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承包人项目经理：</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25" w:name="_Toc351203486"/>
      <w:r>
        <w:rPr>
          <w:rFonts w:hint="eastAsia" w:ascii="宋体" w:hAnsi="宋体" w:eastAsia="黑体"/>
          <w:color w:val="auto"/>
          <w:sz w:val="24"/>
        </w:rPr>
        <w:t>六、合同文件构成</w:t>
      </w:r>
      <w:bookmarkEnd w:id="25"/>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本协议书与下列文件一起构成合同文件：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（2）投标函及其附录（如果有）；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（3）专用合同条款及其附件；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上述各项合同文件包括合同当事人就该项合同文件所作出的补充和修改，属于同一类内容的文件，应以最新签署的为准。专用合同条款及其附件须经合同当事人签字或盖章。</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26" w:name="_Toc351203487"/>
      <w:r>
        <w:rPr>
          <w:rFonts w:hint="eastAsia" w:ascii="宋体" w:hAnsi="宋体" w:eastAsia="黑体"/>
          <w:color w:val="auto"/>
          <w:sz w:val="24"/>
        </w:rPr>
        <w:t>七、承诺</w:t>
      </w:r>
      <w:bookmarkEnd w:id="26"/>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1.发包人承诺按照法律规定履行项目审批手续、筹集工程建设资金并按照合同约定的期限和方式支付合同价款。</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3.发包人和承包人通过招投标形式签订合同的，双方理解并承诺不再就同一工程另行签订与合同实质性内容相背离的协议。</w:t>
      </w:r>
    </w:p>
    <w:p>
      <w:pPr>
        <w:shd w:val="clear" w:color="auto" w:fill="auto"/>
        <w:spacing w:line="360" w:lineRule="auto"/>
        <w:ind w:firstLine="544" w:firstLineChars="227"/>
        <w:rPr>
          <w:rFonts w:hint="eastAsia" w:ascii="宋体" w:hAnsi="宋体" w:eastAsia="黑体"/>
          <w:color w:val="auto"/>
          <w:sz w:val="24"/>
        </w:rPr>
      </w:pPr>
      <w:bookmarkStart w:id="27" w:name="_Toc351203488"/>
      <w:r>
        <w:rPr>
          <w:rFonts w:hint="eastAsia" w:ascii="宋体" w:hAnsi="宋体" w:eastAsia="黑体"/>
          <w:color w:val="auto"/>
          <w:sz w:val="24"/>
        </w:rPr>
        <w:t xml:space="preserve">    八、词语含义</w:t>
      </w:r>
      <w:bookmarkEnd w:id="27"/>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本协议书中词语含义与第二部分通用合同条款中赋予的含义相同。</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28" w:name="_Toc351203489"/>
      <w:r>
        <w:rPr>
          <w:rFonts w:hint="eastAsia" w:ascii="宋体" w:hAnsi="宋体" w:eastAsia="黑体"/>
          <w:color w:val="auto"/>
          <w:sz w:val="24"/>
        </w:rPr>
        <w:t>九、签订时间</w:t>
      </w:r>
      <w:bookmarkEnd w:id="28"/>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本合同于</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年</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月</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日签订。</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29" w:name="_Toc351203490"/>
      <w:r>
        <w:rPr>
          <w:rFonts w:hint="eastAsia" w:ascii="宋体" w:hAnsi="宋体" w:eastAsia="黑体"/>
          <w:color w:val="auto"/>
          <w:sz w:val="24"/>
        </w:rPr>
        <w:t>十、签订地点</w:t>
      </w:r>
      <w:bookmarkEnd w:id="29"/>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本合同在</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签订。</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30" w:name="_Toc351203491"/>
      <w:r>
        <w:rPr>
          <w:rFonts w:hint="eastAsia" w:ascii="宋体" w:hAnsi="宋体" w:eastAsia="黑体"/>
          <w:color w:val="auto"/>
          <w:sz w:val="24"/>
        </w:rPr>
        <w:t>十一、补充协议</w:t>
      </w:r>
      <w:bookmarkEnd w:id="30"/>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合同未尽事宜，合同当事人另行签订补充协议，补充协议是合同的组成部分。</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31" w:name="_Toc351203492"/>
      <w:r>
        <w:rPr>
          <w:rFonts w:hint="eastAsia" w:ascii="宋体" w:hAnsi="宋体" w:eastAsia="黑体"/>
          <w:color w:val="auto"/>
          <w:sz w:val="24"/>
        </w:rPr>
        <w:t>十二、合同生效</w:t>
      </w:r>
      <w:bookmarkEnd w:id="31"/>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本合同自</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生效。</w:t>
      </w:r>
    </w:p>
    <w:p>
      <w:pPr>
        <w:shd w:val="clear" w:color="auto" w:fill="auto"/>
        <w:spacing w:line="360" w:lineRule="auto"/>
        <w:ind w:firstLine="544" w:firstLineChars="227"/>
        <w:rPr>
          <w:rFonts w:hint="eastAsia" w:ascii="宋体" w:hAnsi="宋体" w:eastAsia="黑体"/>
          <w:color w:val="auto"/>
          <w:sz w:val="24"/>
        </w:rPr>
      </w:pPr>
      <w:r>
        <w:rPr>
          <w:rFonts w:hint="eastAsia" w:ascii="宋体" w:hAnsi="宋体" w:eastAsia="黑体"/>
          <w:color w:val="auto"/>
          <w:sz w:val="24"/>
        </w:rPr>
        <w:t xml:space="preserve">    </w:t>
      </w:r>
      <w:bookmarkStart w:id="32" w:name="_Toc351203493"/>
      <w:r>
        <w:rPr>
          <w:rFonts w:hint="eastAsia" w:ascii="宋体" w:hAnsi="宋体" w:eastAsia="黑体"/>
          <w:color w:val="auto"/>
          <w:sz w:val="24"/>
        </w:rPr>
        <w:t>十三、合同份数</w:t>
      </w:r>
      <w:bookmarkEnd w:id="32"/>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本合同一式</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份，均具有同等法律效力，发包人执</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份，承包人执</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份。</w:t>
      </w:r>
    </w:p>
    <w:p>
      <w:pPr>
        <w:spacing w:line="360" w:lineRule="auto"/>
        <w:rPr>
          <w:rFonts w:hint="eastAsia" w:ascii="Times New Roman" w:hAnsi="Times New Roman" w:eastAsia="仿宋_GB2312"/>
          <w:color w:val="auto"/>
          <w:sz w:val="30"/>
          <w:szCs w:val="30"/>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甲方</w:t>
      </w:r>
      <w:r>
        <w:rPr>
          <w:rFonts w:hint="eastAsia" w:asciiTheme="minorEastAsia" w:hAnsiTheme="minorEastAsia" w:eastAsiaTheme="minorEastAsia" w:cstheme="minorEastAsia"/>
          <w:color w:val="auto"/>
          <w:sz w:val="24"/>
          <w:szCs w:val="24"/>
        </w:rPr>
        <w:t xml:space="preserve">：  (公章)             </w:t>
      </w:r>
      <w:r>
        <w:rPr>
          <w:rFonts w:hint="eastAsia" w:asciiTheme="minorEastAsia" w:hAnsiTheme="minorEastAsia" w:eastAsiaTheme="minorEastAsia" w:cstheme="minorEastAsia"/>
          <w:color w:val="auto"/>
          <w:sz w:val="24"/>
          <w:szCs w:val="24"/>
          <w:lang w:val="en-US" w:eastAsia="zh-CN"/>
        </w:rPr>
        <w:t>乙方</w:t>
      </w:r>
      <w:r>
        <w:rPr>
          <w:rFonts w:hint="eastAsia" w:asciiTheme="minorEastAsia" w:hAnsiTheme="minorEastAsia" w:eastAsiaTheme="minorEastAsia" w:cstheme="minorEastAsia"/>
          <w:color w:val="auto"/>
          <w:sz w:val="24"/>
          <w:szCs w:val="24"/>
        </w:rPr>
        <w:t>：  (公章)</w:t>
      </w:r>
    </w:p>
    <w:p>
      <w:pPr>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法定代表人或其委托代理人：  法定代表人或其委托代理人：</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（签字）                    （签字）</w:t>
      </w:r>
    </w:p>
    <w:p>
      <w:pPr>
        <w:spacing w:line="360" w:lineRule="auto"/>
        <w:rPr>
          <w:rFonts w:hint="eastAsia" w:asciiTheme="minorEastAsia" w:hAnsiTheme="minorEastAsia" w:eastAsiaTheme="minorEastAsia" w:cstheme="minorEastAsia"/>
          <w:color w:val="auto"/>
          <w:sz w:val="24"/>
          <w:szCs w:val="24"/>
          <w:u w:val="single"/>
        </w:rPr>
      </w:pPr>
    </w:p>
    <w:p>
      <w:pPr>
        <w:tabs>
          <w:tab w:val="left" w:pos="441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组织机构代码：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组织机构代码：</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地  址：</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邮政编码：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 xml:space="preserve">  法定代表人：</w:t>
      </w:r>
      <w:r>
        <w:rPr>
          <w:rFonts w:hint="eastAsia" w:asciiTheme="minorEastAsia" w:hAnsiTheme="minorEastAsia" w:eastAsiaTheme="minorEastAsia" w:cstheme="minorEastAsia"/>
          <w:color w:val="auto"/>
          <w:sz w:val="24"/>
          <w:szCs w:val="24"/>
          <w:u w:val="single"/>
        </w:rPr>
        <w:t xml:space="preserve">      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 xml:space="preserve">  委托代理人：</w:t>
      </w:r>
      <w:r>
        <w:rPr>
          <w:rFonts w:hint="eastAsia" w:asciiTheme="minorEastAsia" w:hAnsiTheme="minorEastAsia" w:eastAsiaTheme="minorEastAsia" w:cstheme="minorEastAsia"/>
          <w:color w:val="auto"/>
          <w:sz w:val="24"/>
          <w:szCs w:val="24"/>
          <w:u w:val="single"/>
        </w:rPr>
        <w:t xml:space="preserve">     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电  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传  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电子信箱：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电子信箱：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开户银行：</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开户银行：</w:t>
      </w:r>
      <w:r>
        <w:rPr>
          <w:rFonts w:hint="eastAsia" w:asciiTheme="minorEastAsia" w:hAnsiTheme="minorEastAsia" w:eastAsiaTheme="minorEastAsia" w:cstheme="minorEastAsia"/>
          <w:color w:val="auto"/>
          <w:sz w:val="24"/>
          <w:szCs w:val="24"/>
          <w:u w:val="single"/>
        </w:rPr>
        <w:t xml:space="preserve">                  </w:t>
      </w:r>
    </w:p>
    <w:p>
      <w:pPr>
        <w:spacing w:line="360" w:lineRule="auto"/>
        <w:rPr>
          <w:rFonts w:ascii="Times New Roman" w:hAnsi="Times New Roman" w:eastAsia="仿宋_GB2312"/>
          <w:color w:val="auto"/>
          <w:sz w:val="30"/>
          <w:szCs w:val="30"/>
        </w:rPr>
      </w:pPr>
      <w:r>
        <w:rPr>
          <w:rFonts w:hint="eastAsia" w:asciiTheme="minorEastAsia" w:hAnsiTheme="minorEastAsia" w:eastAsiaTheme="minorEastAsia" w:cstheme="minorEastAsia"/>
          <w:color w:val="auto"/>
          <w:sz w:val="24"/>
          <w:szCs w:val="24"/>
        </w:rPr>
        <w:t>账  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账  号：</w:t>
      </w:r>
      <w:r>
        <w:rPr>
          <w:rFonts w:hint="eastAsia" w:asciiTheme="minorEastAsia" w:hAnsiTheme="minorEastAsia" w:eastAsiaTheme="minorEastAsia" w:cstheme="minorEastAsia"/>
          <w:color w:val="auto"/>
          <w:sz w:val="24"/>
          <w:szCs w:val="24"/>
          <w:u w:val="single"/>
        </w:rPr>
        <w:t xml:space="preserve">                  </w:t>
      </w:r>
      <w:r>
        <w:rPr>
          <w:rFonts w:hint="eastAsia" w:ascii="Times New Roman" w:hAnsi="Times New Roman" w:eastAsia="仿宋_GB2312"/>
          <w:color w:val="auto"/>
          <w:sz w:val="30"/>
          <w:szCs w:val="30"/>
          <w:u w:val="single"/>
        </w:rPr>
        <w:t xml:space="preserve"> </w:t>
      </w:r>
    </w:p>
    <w:p>
      <w:pPr>
        <w:shd w:val="clear" w:color="auto" w:fill="auto"/>
        <w:autoSpaceDE w:val="0"/>
        <w:autoSpaceDN w:val="0"/>
        <w:adjustRightInd w:val="0"/>
        <w:spacing w:line="360" w:lineRule="auto"/>
        <w:ind w:firstLine="584" w:firstLineChars="218"/>
        <w:jc w:val="left"/>
        <w:rPr>
          <w:rFonts w:hint="eastAsia" w:ascii="宋体" w:hAnsi="宋体"/>
          <w:color w:val="auto"/>
          <w:spacing w:val="14"/>
          <w:sz w:val="24"/>
        </w:rPr>
      </w:pPr>
      <w:r>
        <w:rPr>
          <w:rFonts w:hint="eastAsia" w:ascii="宋体" w:hAnsi="宋体"/>
          <w:color w:val="auto"/>
          <w:spacing w:val="14"/>
          <w:sz w:val="24"/>
        </w:rPr>
        <w:t xml:space="preserve"> </w:t>
      </w:r>
    </w:p>
    <w:p>
      <w:pPr>
        <w:shd w:val="clear" w:color="auto" w:fill="auto"/>
        <w:autoSpaceDE w:val="0"/>
        <w:autoSpaceDN w:val="0"/>
        <w:adjustRightInd w:val="0"/>
        <w:spacing w:line="360" w:lineRule="auto"/>
        <w:jc w:val="left"/>
        <w:rPr>
          <w:rFonts w:hint="eastAsia" w:ascii="宋体" w:hAnsi="宋体"/>
          <w:color w:val="auto"/>
          <w:spacing w:val="14"/>
          <w:sz w:val="24"/>
        </w:rPr>
      </w:pPr>
    </w:p>
    <w:p>
      <w:pPr>
        <w:shd w:val="clear" w:color="auto" w:fill="auto"/>
        <w:spacing w:line="360" w:lineRule="auto"/>
        <w:jc w:val="center"/>
        <w:rPr>
          <w:rFonts w:hint="eastAsia" w:eastAsia="黑体"/>
          <w:color w:val="auto"/>
          <w:sz w:val="32"/>
        </w:rPr>
      </w:pPr>
    </w:p>
    <w:p>
      <w:pPr>
        <w:shd w:val="clear" w:color="auto" w:fill="auto"/>
        <w:spacing w:line="360" w:lineRule="auto"/>
        <w:jc w:val="center"/>
        <w:rPr>
          <w:rFonts w:hint="eastAsia" w:ascii="宋体" w:hAnsi="宋体"/>
          <w:b/>
          <w:color w:val="auto"/>
          <w:sz w:val="30"/>
        </w:rPr>
      </w:pPr>
      <w:r>
        <w:rPr>
          <w:rFonts w:hint="eastAsia" w:eastAsia="黑体"/>
          <w:color w:val="auto"/>
          <w:sz w:val="32"/>
        </w:rPr>
        <w:t>第二部分</w:t>
      </w:r>
      <w:r>
        <w:rPr>
          <w:rFonts w:hint="eastAsia" w:ascii="宋体" w:hAnsi="宋体"/>
          <w:b/>
          <w:color w:val="auto"/>
          <w:sz w:val="30"/>
        </w:rPr>
        <w:t xml:space="preserve"> 通用合同条款</w:t>
      </w:r>
    </w:p>
    <w:p>
      <w:pPr>
        <w:shd w:val="clear" w:color="auto" w:fill="auto"/>
        <w:spacing w:line="360" w:lineRule="auto"/>
        <w:ind w:firstLine="480" w:firstLineChars="200"/>
        <w:rPr>
          <w:rFonts w:hint="eastAsia" w:ascii="宋体" w:hAnsi="宋体" w:eastAsiaTheme="minorEastAsia"/>
          <w:color w:val="auto"/>
          <w:sz w:val="24"/>
          <w:lang w:eastAsia="zh-CN"/>
        </w:rPr>
      </w:pPr>
      <w:r>
        <w:rPr>
          <w:rFonts w:hint="eastAsia" w:ascii="宋体" w:hAnsi="宋体"/>
          <w:color w:val="auto"/>
          <w:sz w:val="24"/>
        </w:rPr>
        <w:t>通用合同条款直接引用中国建筑工业出版社出版的《建设工程施工合同（示范文本）（GF-2017-0201）第二部分“通用合同条款”内容。</w:t>
      </w:r>
      <w:r>
        <w:rPr>
          <w:rFonts w:hint="eastAsia" w:ascii="宋体" w:hAnsi="宋体"/>
          <w:color w:val="auto"/>
          <w:sz w:val="24"/>
          <w:lang w:eastAsia="zh-CN"/>
        </w:rPr>
        <w:t>（</w:t>
      </w:r>
      <w:r>
        <w:rPr>
          <w:rFonts w:hint="eastAsia" w:ascii="宋体" w:hAnsi="宋体"/>
          <w:color w:val="auto"/>
          <w:sz w:val="24"/>
          <w:lang w:val="en-US" w:eastAsia="zh-CN"/>
        </w:rPr>
        <w:t>详见附件1</w:t>
      </w:r>
      <w:r>
        <w:rPr>
          <w:rFonts w:hint="eastAsia" w:ascii="宋体" w:hAnsi="宋体"/>
          <w:color w:val="auto"/>
          <w:sz w:val="24"/>
          <w:lang w:eastAsia="zh-CN"/>
        </w:rPr>
        <w:t>）</w:t>
      </w:r>
    </w:p>
    <w:p>
      <w:pPr>
        <w:shd w:val="clear" w:color="auto" w:fill="auto"/>
        <w:spacing w:line="360" w:lineRule="auto"/>
        <w:rPr>
          <w:rFonts w:hint="eastAsia"/>
          <w:color w:val="auto"/>
        </w:rPr>
      </w:pPr>
    </w:p>
    <w:p>
      <w:pPr>
        <w:pStyle w:val="4"/>
        <w:numPr>
          <w:ilvl w:val="2"/>
          <w:numId w:val="0"/>
        </w:numPr>
        <w:shd w:val="clear" w:color="auto" w:fill="auto"/>
        <w:spacing w:before="120"/>
        <w:ind w:leftChars="0"/>
        <w:jc w:val="center"/>
        <w:rPr>
          <w:rFonts w:hint="eastAsia"/>
          <w:color w:val="auto"/>
          <w:sz w:val="30"/>
          <w:szCs w:val="30"/>
        </w:rPr>
      </w:pPr>
      <w:bookmarkStart w:id="33" w:name="_Toc364853223"/>
      <w:r>
        <w:rPr>
          <w:rFonts w:hint="eastAsia"/>
          <w:color w:val="auto"/>
          <w:sz w:val="30"/>
          <w:szCs w:val="30"/>
        </w:rPr>
        <w:t>第三部分 专用合同条款</w:t>
      </w:r>
      <w:bookmarkEnd w:id="33"/>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34" w:name="_Toc351203633"/>
      <w:r>
        <w:rPr>
          <w:rFonts w:hint="eastAsia" w:asciiTheme="minorEastAsia" w:hAnsiTheme="minorEastAsia" w:eastAsiaTheme="minorEastAsia" w:cstheme="minorEastAsia"/>
          <w:b w:val="0"/>
          <w:color w:val="auto"/>
          <w:sz w:val="24"/>
          <w:szCs w:val="24"/>
        </w:rPr>
        <w:t>1</w:t>
      </w:r>
      <w:bookmarkStart w:id="35" w:name="_Toc297048342"/>
      <w:bookmarkStart w:id="36" w:name="_Toc296346657"/>
      <w:bookmarkStart w:id="37" w:name="_Toc296890984"/>
      <w:bookmarkStart w:id="38" w:name="_Toc296944495"/>
      <w:bookmarkStart w:id="39" w:name="_Toc292559866"/>
      <w:bookmarkStart w:id="40" w:name="_Toc296503156"/>
      <w:bookmarkStart w:id="41" w:name="_Toc292559361"/>
      <w:bookmarkStart w:id="42" w:name="_Toc297120456"/>
      <w:bookmarkStart w:id="43" w:name="_Toc296891196"/>
      <w:bookmarkStart w:id="44" w:name="_Toc296347155"/>
      <w:r>
        <w:rPr>
          <w:rFonts w:hint="eastAsia" w:asciiTheme="minorEastAsia" w:hAnsiTheme="minorEastAsia" w:eastAsiaTheme="minorEastAsia" w:cstheme="minorEastAsia"/>
          <w:b w:val="0"/>
          <w:color w:val="auto"/>
          <w:sz w:val="24"/>
          <w:szCs w:val="24"/>
        </w:rPr>
        <w:t>. 一般约定</w:t>
      </w:r>
      <w:bookmarkEnd w:id="34"/>
    </w:p>
    <w:bookmarkEnd w:id="35"/>
    <w:bookmarkEnd w:id="36"/>
    <w:bookmarkEnd w:id="37"/>
    <w:bookmarkEnd w:id="38"/>
    <w:bookmarkEnd w:id="39"/>
    <w:bookmarkEnd w:id="40"/>
    <w:bookmarkEnd w:id="41"/>
    <w:bookmarkEnd w:id="42"/>
    <w:bookmarkEnd w:id="43"/>
    <w:bookmarkEnd w:id="44"/>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 词语定义</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1.1.1合同</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1.1.1.10其他合同文件包括：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 合同当事人及其他相关方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1.1.2.4监理人：</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资质类别和等级：</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电子信箱：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通信地址：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1.1.2.5 设计人：</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资质类别和等级：</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电子信箱：</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通信地址：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 工程和设备</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1.1.3.7 作为施工现场组成部分的其他场所包括：</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1.1.3.9 永久占地包括：</w:t>
      </w:r>
      <w:r>
        <w:rPr>
          <w:rFonts w:hint="eastAsia" w:asciiTheme="minorEastAsia" w:hAnsiTheme="minorEastAsia" w:eastAsiaTheme="minorEastAsia" w:cstheme="minorEastAsia"/>
          <w:color w:val="auto"/>
          <w:sz w:val="24"/>
          <w:szCs w:val="24"/>
          <w:u w:val="single"/>
        </w:rPr>
        <w:t xml:space="preserve">           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1.1.3.10 临时占地包括：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1.3法律 </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适用于合同的其他规范性文件：</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 标准和规范</w:t>
      </w:r>
    </w:p>
    <w:p>
      <w:pPr>
        <w:spacing w:line="360" w:lineRule="auto"/>
        <w:ind w:left="596" w:leftChars="28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1.4.1适用于工程的标准规范包括：</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outlineLvl w:val="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1.4.2 发包人提供国外标准、规范的名称：</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发包人提供国外标准、规范的份数：</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发包人提供国外标准、规范的名称：</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left="596" w:leftChars="28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1.4.3发包人对工程的技术标准和功能要求的特殊要求：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 合同文件的优先顺序</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合同文件组成及优先顺序为：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 图纸和承包人文件</w:t>
      </w:r>
      <w:r>
        <w:rPr>
          <w:rFonts w:hint="eastAsia" w:asciiTheme="minorEastAsia" w:hAnsiTheme="minorEastAsia" w:eastAsiaTheme="minorEastAsia" w:cstheme="minorEastAsia"/>
          <w:color w:val="auto"/>
          <w:sz w:val="24"/>
          <w:szCs w:val="24"/>
        </w:rPr>
        <w:tab/>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 图纸的提供</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发包人向承包人提供图纸的期限：</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发包人向承包人提供图纸的数量：</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发包人向承包人提供图纸的内容：</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1.6.4 承包人文件</w:t>
      </w:r>
    </w:p>
    <w:p>
      <w:pPr>
        <w:spacing w:line="360" w:lineRule="auto"/>
        <w:ind w:left="596" w:leftChars="284"/>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需要由承包人提供的文件，包括：</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承包人提供的文件的期限为：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承包人提供的文件的数量为：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承包人提供的文件的形式为：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发包人审批承包人文件的期限：</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1.6.5 现场图纸准备</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关于现场图纸准备的约定：</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 联络</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1.7.1发包人和承包人应当在</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天内将与合同有关的通知、批准、证明、证书、指示、指令、要求、请求、同意、意见、确定和决定等书面函件送达对方当事人。</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1.7.2 发包人接收文件的地点：</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发包人指定的接收人为：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承包人接收文件的地点：</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承包人指定的接收人为：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监理人接收文件的地点：</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监理人指定的接收人为：</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1.10 交通运输</w:t>
      </w:r>
    </w:p>
    <w:p>
      <w:pPr>
        <w:spacing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Start w:id="45" w:name="_Toc303539100"/>
      <w:bookmarkStart w:id="46" w:name="_Toc300934943"/>
      <w:bookmarkStart w:id="47" w:name="_Toc304295521"/>
      <w:bookmarkStart w:id="48" w:name="_Toc312677986"/>
      <w:bookmarkStart w:id="49" w:name="_Toc318581155"/>
      <w:r>
        <w:rPr>
          <w:rFonts w:hint="eastAsia" w:asciiTheme="minorEastAsia" w:hAnsiTheme="minorEastAsia" w:eastAsiaTheme="minorEastAsia" w:cstheme="minorEastAsia"/>
          <w:color w:val="auto"/>
          <w:sz w:val="24"/>
          <w:szCs w:val="24"/>
        </w:rPr>
        <w:t>.10.1 出入现场的权利</w:t>
      </w:r>
    </w:p>
    <w:p>
      <w:pPr>
        <w:spacing w:line="360" w:lineRule="auto"/>
        <w:ind w:left="596" w:leftChars="28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关于出入现场的权利的约定：</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45"/>
    <w:bookmarkEnd w:id="46"/>
    <w:bookmarkEnd w:id="47"/>
    <w:bookmarkEnd w:id="48"/>
    <w:bookmarkEnd w:id="49"/>
    <w:p>
      <w:pPr>
        <w:spacing w:line="360" w:lineRule="auto"/>
        <w:ind w:firstLine="480" w:firstLineChars="200"/>
        <w:jc w:val="left"/>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Start w:id="50" w:name="_Toc303539101"/>
      <w:bookmarkStart w:id="51" w:name="_Toc304295522"/>
      <w:bookmarkStart w:id="52" w:name="_Toc318581156"/>
      <w:bookmarkStart w:id="53" w:name="_Toc312677987"/>
      <w:bookmarkStart w:id="54" w:name="_Toc300934944"/>
      <w:r>
        <w:rPr>
          <w:rFonts w:hint="eastAsia" w:asciiTheme="minorEastAsia" w:hAnsiTheme="minorEastAsia" w:eastAsiaTheme="minorEastAsia" w:cstheme="minorEastAsia"/>
          <w:color w:val="auto"/>
          <w:sz w:val="24"/>
          <w:szCs w:val="24"/>
        </w:rPr>
        <w:t>.10.3 场内交通</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关于场外交通和场内交通的边界的约定：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关于发包人向承包人免费提供满足工程施工需要的场内道路和交通设施的约定：</w:t>
      </w:r>
      <w:r>
        <w:rPr>
          <w:rFonts w:hint="eastAsia" w:asciiTheme="minorEastAsia" w:hAnsiTheme="minorEastAsia" w:eastAsiaTheme="minorEastAsia" w:cstheme="minorEastAsia"/>
          <w:color w:val="auto"/>
          <w:sz w:val="24"/>
          <w:szCs w:val="24"/>
          <w:u w:val="single"/>
        </w:rPr>
        <w:t xml:space="preserve">                                   </w:t>
      </w:r>
      <w:r>
        <w:rPr>
          <w:rFonts w:hint="eastAsia" w:asciiTheme="minorEastAsia" w:hAnsiTheme="minorEastAsia" w:eastAsiaTheme="minorEastAsia" w:cstheme="minorEastAsia"/>
          <w:color w:val="auto"/>
          <w:sz w:val="24"/>
          <w:szCs w:val="24"/>
        </w:rPr>
        <w:t>。</w:t>
      </w:r>
      <w:bookmarkEnd w:id="50"/>
      <w:bookmarkEnd w:id="51"/>
      <w:bookmarkEnd w:id="52"/>
      <w:bookmarkEnd w:id="53"/>
      <w:bookmarkEnd w:id="54"/>
      <w:r>
        <w:rPr>
          <w:rFonts w:hint="eastAsia" w:asciiTheme="minorEastAsia" w:hAnsiTheme="minorEastAsia" w:eastAsiaTheme="minorEastAsia" w:cstheme="minorEastAsia"/>
          <w:color w:val="auto"/>
          <w:sz w:val="24"/>
          <w:szCs w:val="24"/>
        </w:rPr>
        <w:t xml:space="preserve">  </w:t>
      </w:r>
      <w:bookmarkStart w:id="55" w:name="_Toc318581157"/>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1.10.4超大件和超重件的运输</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运输超大件或超重件所需的道路和桥梁临时加固改造费用和其他有关费用由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承担。</w:t>
      </w:r>
    </w:p>
    <w:bookmarkEnd w:id="55"/>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 知识产权</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关于发包人提供的上述文件的使用限制的要求：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1.11.2 关于承包人为实施工程所编制文件的著作权的归属：</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关于承包人提供的上述文件的使用限制的要求：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outlineLvl w:val="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1.11.4 承包人在施工过程中所采用的专利、专有技术、技术秘密的使用费的承担方式：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1.13工程量清单错误的修正</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出现工程量清单错误时，是否调整合同价格：</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kern w:val="0"/>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允许调整合同价格的工程量偏差范围：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kern w:val="0"/>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6" w:name="_Toc351203634"/>
      <w:r>
        <w:rPr>
          <w:rFonts w:hint="eastAsia" w:asciiTheme="minorEastAsia" w:hAnsiTheme="minorEastAsia" w:eastAsiaTheme="minorEastAsia" w:cstheme="minorEastAsia"/>
          <w:b w:val="0"/>
          <w:color w:val="auto"/>
          <w:sz w:val="24"/>
          <w:szCs w:val="24"/>
        </w:rPr>
        <w:t>2</w:t>
      </w:r>
      <w:bookmarkStart w:id="57" w:name="_Toc297048343"/>
      <w:bookmarkStart w:id="58" w:name="_Toc292559867"/>
      <w:bookmarkStart w:id="59" w:name="_Toc292559362"/>
      <w:bookmarkStart w:id="60" w:name="_Toc296346658"/>
      <w:bookmarkStart w:id="61" w:name="_Toc296944496"/>
      <w:bookmarkStart w:id="62" w:name="_Toc297120457"/>
      <w:bookmarkStart w:id="63" w:name="_Toc296891197"/>
      <w:bookmarkStart w:id="64" w:name="_Toc296890985"/>
      <w:bookmarkStart w:id="65" w:name="_Toc296347156"/>
      <w:bookmarkStart w:id="66" w:name="_Toc296503157"/>
      <w:r>
        <w:rPr>
          <w:rFonts w:hint="eastAsia" w:asciiTheme="minorEastAsia" w:hAnsiTheme="minorEastAsia" w:eastAsiaTheme="minorEastAsia" w:cstheme="minorEastAsia"/>
          <w:b w:val="0"/>
          <w:color w:val="auto"/>
          <w:sz w:val="24"/>
          <w:szCs w:val="24"/>
        </w:rPr>
        <w:t>. 发包人</w:t>
      </w:r>
      <w:bookmarkEnd w:id="56"/>
    </w:p>
    <w:bookmarkEnd w:id="57"/>
    <w:bookmarkEnd w:id="58"/>
    <w:bookmarkEnd w:id="59"/>
    <w:bookmarkEnd w:id="60"/>
    <w:bookmarkEnd w:id="61"/>
    <w:bookmarkEnd w:id="62"/>
    <w:bookmarkEnd w:id="63"/>
    <w:bookmarkEnd w:id="64"/>
    <w:bookmarkEnd w:id="65"/>
    <w:bookmarkEnd w:id="66"/>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 发包人代表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发包人代表：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    务：</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电子信箱：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通信地址：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发包人对发包人代表的授权范围如下：</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 施工现场、施工条件和基础资料的提供</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2.4.1 提供施工现场</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关于发包人移交施工现场的期限要求：</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2.4.2 提供施工条件</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关于发包人应负责提供施工所需要的条件，包括：</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 资金来源证明及支付担保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发包人提供资金来源证明的期限要求：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发包人是否提供支付担保：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发包人提供支付担保的形式：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67" w:name="_Toc351203635"/>
      <w:r>
        <w:rPr>
          <w:rFonts w:hint="eastAsia" w:asciiTheme="minorEastAsia" w:hAnsiTheme="minorEastAsia" w:eastAsiaTheme="minorEastAsia" w:cstheme="minorEastAsia"/>
          <w:b w:val="0"/>
          <w:color w:val="auto"/>
          <w:sz w:val="24"/>
          <w:szCs w:val="24"/>
        </w:rPr>
        <w:t>3</w:t>
      </w:r>
      <w:bookmarkStart w:id="68" w:name="_Toc292559868"/>
      <w:bookmarkStart w:id="69" w:name="_Toc296891198"/>
      <w:bookmarkStart w:id="70" w:name="_Toc297120458"/>
      <w:bookmarkStart w:id="71" w:name="_Toc297048344"/>
      <w:bookmarkStart w:id="72" w:name="_Toc292559363"/>
      <w:bookmarkStart w:id="73" w:name="_Toc296503158"/>
      <w:bookmarkStart w:id="74" w:name="_Toc296346659"/>
      <w:bookmarkStart w:id="75" w:name="_Toc296944497"/>
      <w:bookmarkStart w:id="76" w:name="_Toc296890986"/>
      <w:bookmarkStart w:id="77" w:name="_Toc296347157"/>
      <w:r>
        <w:rPr>
          <w:rFonts w:hint="eastAsia" w:asciiTheme="minorEastAsia" w:hAnsiTheme="minorEastAsia" w:eastAsiaTheme="minorEastAsia" w:cstheme="minorEastAsia"/>
          <w:b w:val="0"/>
          <w:color w:val="auto"/>
          <w:sz w:val="24"/>
          <w:szCs w:val="24"/>
        </w:rPr>
        <w:t>. 承包人</w:t>
      </w:r>
      <w:bookmarkEnd w:id="67"/>
    </w:p>
    <w:bookmarkEnd w:id="68"/>
    <w:bookmarkEnd w:id="69"/>
    <w:bookmarkEnd w:id="70"/>
    <w:bookmarkEnd w:id="71"/>
    <w:bookmarkEnd w:id="72"/>
    <w:bookmarkEnd w:id="73"/>
    <w:bookmarkEnd w:id="74"/>
    <w:bookmarkEnd w:id="75"/>
    <w:bookmarkEnd w:id="76"/>
    <w:bookmarkEnd w:id="77"/>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 承包人的一般义务</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（9）</w:t>
      </w:r>
      <w:r>
        <w:rPr>
          <w:rFonts w:hint="eastAsia" w:asciiTheme="minorEastAsia" w:hAnsiTheme="minorEastAsia" w:eastAsiaTheme="minorEastAsia" w:cstheme="minorEastAsia"/>
          <w:color w:val="auto"/>
          <w:sz w:val="24"/>
          <w:szCs w:val="24"/>
        </w:rPr>
        <w:t>承包人提交的竣工资料的内容：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承包人需要提交的竣工资料套数：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left="638" w:leftChars="304"/>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承包人提交的竣工资料的费用承担：</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left="638" w:leftChars="304"/>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承包人提交的竣工资料移交时间：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承包人提交的竣工资料形式要求：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（10）承包人应履行的其他义务：</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 项目经理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 xml:space="preserve">3.2.1 </w:t>
      </w:r>
      <w:r>
        <w:rPr>
          <w:rFonts w:hint="eastAsia" w:asciiTheme="minorEastAsia" w:hAnsiTheme="minorEastAsia" w:eastAsiaTheme="minorEastAsia" w:cstheme="minorEastAsia"/>
          <w:color w:val="auto"/>
          <w:sz w:val="24"/>
          <w:szCs w:val="24"/>
        </w:rPr>
        <w:t>项目经理：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建造师执业资格等级：</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建造师注册证书号：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建造师执业印章号：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安全生产考核合格证书号：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电子信箱：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通信地址：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承包人对项目经理的授权范围如下：</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关于项目经理每月在施工现场的时间要求：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承包人未提交劳动合同，以及没有为项目经理缴纳社会保险证明的违约责任：</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kern w:val="0"/>
          <w:sz w:val="24"/>
          <w:szCs w:val="24"/>
        </w:rPr>
        <w:t>项目经理未经批准，擅自离开施工现场的违约责任：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3.2.3 承包人擅自更换项目经理的违约责任：</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3.2.4 承包人无正当理由拒绝更换项目经理的违约责任：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 承包人人员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3.3.1 承包人提交项目管理机构及施工现场管理人员安排报告的期限：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3.3.3 承包人无正当理由拒绝撤换主要施工管理人员的违约责任：</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3.3.4 承包人主要施工管理人员离开施工现场的批准要求：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3.3.5承包人擅自更换主要施工管理人员的违约责任：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承包人主要施工管理人员擅自离开施工现场的违约责任：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bookmarkStart w:id="78" w:name="_Toc292559364"/>
      <w:bookmarkStart w:id="79" w:name="_Toc303539102"/>
      <w:bookmarkStart w:id="80" w:name="_Toc297123492"/>
      <w:bookmarkStart w:id="81" w:name="_Toc296891199"/>
      <w:bookmarkStart w:id="82" w:name="_Toc296347158"/>
      <w:bookmarkStart w:id="83" w:name="_Toc296890987"/>
      <w:bookmarkStart w:id="84" w:name="_Toc300934945"/>
      <w:bookmarkStart w:id="85" w:name="_Toc297048345"/>
      <w:bookmarkStart w:id="86" w:name="_Toc292559869"/>
      <w:bookmarkStart w:id="87" w:name="_Toc296503159"/>
      <w:bookmarkStart w:id="88" w:name="_Toc304295523"/>
      <w:bookmarkStart w:id="89" w:name="_Toc297120459"/>
      <w:bookmarkStart w:id="90" w:name="_Toc296346660"/>
      <w:bookmarkStart w:id="91" w:name="_Toc296944498"/>
      <w:bookmarkStart w:id="92" w:name="_Toc297216151"/>
      <w:bookmarkStart w:id="93" w:name="_Toc312677988"/>
      <w:r>
        <w:rPr>
          <w:rFonts w:hint="eastAsia" w:asciiTheme="minorEastAsia" w:hAnsiTheme="minorEastAsia" w:eastAsiaTheme="minorEastAsia" w:cstheme="minorEastAsia"/>
          <w:color w:val="auto"/>
          <w:sz w:val="24"/>
          <w:szCs w:val="24"/>
        </w:rPr>
        <w:t>.5 分包</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bookmarkStart w:id="94" w:name="_Toc297123493"/>
      <w:bookmarkStart w:id="95" w:name="_Toc292559365"/>
      <w:bookmarkStart w:id="96" w:name="_Toc296503160"/>
      <w:bookmarkStart w:id="97" w:name="_Toc296346661"/>
      <w:bookmarkStart w:id="98" w:name="_Toc296890988"/>
      <w:bookmarkStart w:id="99" w:name="_Toc292559870"/>
      <w:bookmarkStart w:id="100" w:name="_Toc296891200"/>
      <w:bookmarkStart w:id="101" w:name="_Toc297048346"/>
      <w:bookmarkStart w:id="102" w:name="_Toc297120460"/>
      <w:bookmarkStart w:id="103" w:name="_Toc303539103"/>
      <w:bookmarkStart w:id="104" w:name="_Toc296944499"/>
      <w:bookmarkStart w:id="105" w:name="_Toc304295524"/>
      <w:bookmarkStart w:id="106" w:name="_Toc296347159"/>
      <w:bookmarkStart w:id="107" w:name="_Toc297216152"/>
      <w:bookmarkStart w:id="108" w:name="_Toc300934946"/>
      <w:bookmarkStart w:id="109" w:name="_Toc312677989"/>
      <w:bookmarkStart w:id="110" w:name="_Toc318581158"/>
      <w:r>
        <w:rPr>
          <w:rFonts w:hint="eastAsia" w:asciiTheme="minorEastAsia" w:hAnsiTheme="minorEastAsia" w:eastAsiaTheme="minorEastAsia" w:cstheme="minorEastAsia"/>
          <w:color w:val="auto"/>
          <w:sz w:val="24"/>
          <w:szCs w:val="24"/>
        </w:rPr>
        <w:t>.5.1 分包的一般约定</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禁止分包的工程包括：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主体结构、关键性工作的范围：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Start w:id="111" w:name="_Toc297048347"/>
      <w:bookmarkStart w:id="112" w:name="_Toc296347160"/>
      <w:bookmarkStart w:id="113" w:name="_Toc296346662"/>
      <w:bookmarkStart w:id="114" w:name="_Toc296891201"/>
      <w:bookmarkStart w:id="115" w:name="_Toc297216153"/>
      <w:bookmarkStart w:id="116" w:name="_Toc296503161"/>
      <w:bookmarkStart w:id="117" w:name="_Toc296944500"/>
      <w:bookmarkStart w:id="118" w:name="_Toc297120461"/>
      <w:bookmarkStart w:id="119" w:name="_Toc300934947"/>
      <w:bookmarkStart w:id="120" w:name="_Toc304295525"/>
      <w:bookmarkStart w:id="121" w:name="_Toc297123494"/>
      <w:bookmarkStart w:id="122" w:name="_Toc303539104"/>
      <w:bookmarkStart w:id="123" w:name="_Toc296890989"/>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w:t>
      </w:r>
      <w:bookmarkStart w:id="124" w:name="_Toc312677990"/>
      <w:bookmarkStart w:id="125" w:name="_Toc318581159"/>
      <w:r>
        <w:rPr>
          <w:rFonts w:hint="eastAsia" w:asciiTheme="minorEastAsia" w:hAnsiTheme="minorEastAsia" w:eastAsiaTheme="minorEastAsia" w:cstheme="minorEastAsia"/>
          <w:color w:val="auto"/>
          <w:sz w:val="24"/>
          <w:szCs w:val="24"/>
        </w:rPr>
        <w:t>.5.2分包的确定</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允许分包的专业工程包括：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其他关于分包的约定：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3.5.4 分包合同价款</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关于分包合同价款支付的约定：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124"/>
    <w:bookmarkEnd w:id="125"/>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3.6 工程照管与成品、半成品保护</w:t>
      </w:r>
    </w:p>
    <w:p>
      <w:pPr>
        <w:spacing w:before="120" w:after="120" w:line="360" w:lineRule="auto"/>
        <w:ind w:firstLine="480" w:firstLineChars="200"/>
        <w:rPr>
          <w:rFonts w:hint="eastAsia" w:asciiTheme="minorEastAsia" w:hAnsiTheme="minorEastAsia" w:eastAsiaTheme="minorEastAsia" w:cstheme="minorEastAsia"/>
          <w:color w:val="auto"/>
          <w:kern w:val="0"/>
          <w:sz w:val="24"/>
          <w:szCs w:val="24"/>
          <w:u w:val="single"/>
        </w:rPr>
      </w:pPr>
      <w:r>
        <w:rPr>
          <w:rFonts w:hint="eastAsia" w:asciiTheme="minorEastAsia" w:hAnsiTheme="minorEastAsia" w:eastAsiaTheme="minorEastAsia" w:cstheme="minorEastAsia"/>
          <w:color w:val="auto"/>
          <w:kern w:val="0"/>
          <w:sz w:val="24"/>
          <w:szCs w:val="24"/>
        </w:rPr>
        <w:t>承包人负责照管工程及工程相关的材料、工程设备的起始时间：</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3.7 履约担保</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承包人是否提供履约担保：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承包人提供履约担保的形式、金额及期限的：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126" w:name="_Toc351203636"/>
      <w:r>
        <w:rPr>
          <w:rFonts w:hint="eastAsia" w:asciiTheme="minorEastAsia" w:hAnsiTheme="minorEastAsia" w:eastAsiaTheme="minorEastAsia" w:cstheme="minorEastAsia"/>
          <w:b w:val="0"/>
          <w:color w:val="auto"/>
          <w:sz w:val="24"/>
          <w:szCs w:val="24"/>
        </w:rPr>
        <w:t>4</w:t>
      </w:r>
      <w:bookmarkStart w:id="127" w:name="_Toc296890990"/>
      <w:bookmarkStart w:id="128" w:name="_Toc296891202"/>
      <w:bookmarkStart w:id="129" w:name="_Toc292559871"/>
      <w:bookmarkStart w:id="130" w:name="_Toc267251413"/>
      <w:bookmarkStart w:id="131" w:name="_Toc296503162"/>
      <w:bookmarkStart w:id="132" w:name="_Toc296346663"/>
      <w:bookmarkStart w:id="133" w:name="_Toc297120462"/>
      <w:bookmarkStart w:id="134" w:name="_Toc296944501"/>
      <w:bookmarkStart w:id="135" w:name="_Toc297048348"/>
      <w:bookmarkStart w:id="136" w:name="_Toc292559366"/>
      <w:bookmarkStart w:id="137" w:name="_Toc296347161"/>
      <w:r>
        <w:rPr>
          <w:rFonts w:hint="eastAsia" w:asciiTheme="minorEastAsia" w:hAnsiTheme="minorEastAsia" w:eastAsiaTheme="minorEastAsia" w:cstheme="minorEastAsia"/>
          <w:b w:val="0"/>
          <w:color w:val="auto"/>
          <w:sz w:val="24"/>
          <w:szCs w:val="24"/>
        </w:rPr>
        <w:t>. 监</w:t>
      </w:r>
      <w:bookmarkEnd w:id="127"/>
      <w:bookmarkEnd w:id="128"/>
      <w:bookmarkEnd w:id="129"/>
      <w:bookmarkEnd w:id="130"/>
      <w:bookmarkEnd w:id="131"/>
      <w:bookmarkEnd w:id="132"/>
      <w:bookmarkEnd w:id="133"/>
      <w:bookmarkEnd w:id="134"/>
      <w:bookmarkEnd w:id="135"/>
      <w:bookmarkEnd w:id="136"/>
      <w:bookmarkEnd w:id="137"/>
      <w:r>
        <w:rPr>
          <w:rFonts w:hint="eastAsia" w:asciiTheme="minorEastAsia" w:hAnsiTheme="minorEastAsia" w:eastAsiaTheme="minorEastAsia" w:cstheme="minorEastAsia"/>
          <w:b w:val="0"/>
          <w:color w:val="auto"/>
          <w:sz w:val="24"/>
          <w:szCs w:val="24"/>
        </w:rPr>
        <w:t>理人</w:t>
      </w:r>
      <w:bookmarkEnd w:id="126"/>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4.1监理人的一般规定</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关于监理人的监理内容：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关于监理人的监理权限：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关于监理人在施工现场的办公场所、生活场所的提供和费用承担的约定：</w:t>
      </w:r>
      <w:r>
        <w:rPr>
          <w:rFonts w:hint="eastAsia" w:asciiTheme="minorEastAsia" w:hAnsiTheme="minorEastAsia" w:eastAsiaTheme="minorEastAsia" w:cstheme="minorEastAsia"/>
          <w:color w:val="auto"/>
          <w:sz w:val="24"/>
          <w:szCs w:val="24"/>
          <w:u w:val="single"/>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 监理人员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总监理工程师：</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    务：</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监理工程师执业资格证书号：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电子信箱：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通信地址：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关于监理人的其他约定：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4.4 商定或确定</w:t>
      </w:r>
    </w:p>
    <w:p>
      <w:pPr>
        <w:spacing w:line="360" w:lineRule="auto"/>
        <w:ind w:firstLine="480" w:firstLineChars="200"/>
        <w:rPr>
          <w:rFonts w:hint="eastAsia" w:asciiTheme="minorEastAsia" w:hAnsiTheme="minorEastAsia" w:eastAsiaTheme="minorEastAsia" w:cstheme="minorEastAsia"/>
          <w:color w:val="auto"/>
          <w:sz w:val="24"/>
          <w:szCs w:val="24"/>
        </w:rPr>
      </w:pPr>
      <w:bookmarkStart w:id="138" w:name="_Toc267251418"/>
      <w:r>
        <w:rPr>
          <w:rFonts w:hint="eastAsia" w:asciiTheme="minorEastAsia" w:hAnsiTheme="minorEastAsia" w:eastAsiaTheme="minorEastAsia" w:cstheme="minorEastAsia"/>
          <w:color w:val="auto"/>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139" w:name="_Toc351203637"/>
      <w:r>
        <w:rPr>
          <w:rFonts w:hint="eastAsia" w:asciiTheme="minorEastAsia" w:hAnsiTheme="minorEastAsia" w:eastAsiaTheme="minorEastAsia" w:cstheme="minorEastAsia"/>
          <w:b w:val="0"/>
          <w:color w:val="auto"/>
          <w:sz w:val="24"/>
          <w:szCs w:val="24"/>
        </w:rPr>
        <w:t>5</w:t>
      </w:r>
      <w:bookmarkEnd w:id="138"/>
      <w:bookmarkStart w:id="140" w:name="_Toc296347162"/>
      <w:bookmarkStart w:id="141" w:name="_Toc296890991"/>
      <w:bookmarkStart w:id="142" w:name="_Toc297048349"/>
      <w:bookmarkStart w:id="143" w:name="_Toc296346664"/>
      <w:bookmarkStart w:id="144" w:name="_Toc296891203"/>
      <w:bookmarkStart w:id="145" w:name="_Toc297120463"/>
      <w:bookmarkStart w:id="146" w:name="_Toc292559367"/>
      <w:bookmarkStart w:id="147" w:name="_Toc292559872"/>
      <w:bookmarkStart w:id="148" w:name="_Toc296944502"/>
      <w:bookmarkStart w:id="149" w:name="_Toc296503163"/>
      <w:r>
        <w:rPr>
          <w:rFonts w:hint="eastAsia" w:asciiTheme="minorEastAsia" w:hAnsiTheme="minorEastAsia" w:eastAsiaTheme="minorEastAsia" w:cstheme="minorEastAsia"/>
          <w:b w:val="0"/>
          <w:color w:val="auto"/>
          <w:sz w:val="24"/>
          <w:szCs w:val="24"/>
        </w:rPr>
        <w:t>. 工程质量</w:t>
      </w:r>
      <w:bookmarkEnd w:id="139"/>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 质量要求</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bookmarkStart w:id="150" w:name="_Toc297216155"/>
      <w:bookmarkStart w:id="151" w:name="_Toc318581164"/>
      <w:bookmarkStart w:id="152" w:name="_Toc300934949"/>
      <w:bookmarkStart w:id="153" w:name="_Toc303539106"/>
      <w:bookmarkStart w:id="154" w:name="_Toc297123496"/>
      <w:bookmarkStart w:id="155" w:name="_Toc312677997"/>
      <w:bookmarkStart w:id="156" w:name="_Toc304295527"/>
      <w:r>
        <w:rPr>
          <w:rFonts w:hint="eastAsia" w:asciiTheme="minorEastAsia" w:hAnsiTheme="minorEastAsia" w:eastAsiaTheme="minorEastAsia" w:cstheme="minorEastAsia"/>
          <w:color w:val="auto"/>
          <w:sz w:val="24"/>
          <w:szCs w:val="24"/>
        </w:rPr>
        <w:t>.1.1 特殊质量标准和要求：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关于工程奖项的约定：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5.3 隐蔽工程检查</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5.3.2承包人提前通知监理人隐蔽工程检查的期限的约定：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监理人不能按时进行检查时，应提前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小时提交书面延期要求。</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关于延期最长不得超过：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小时。</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157" w:name="_Toc351203638"/>
      <w:r>
        <w:rPr>
          <w:rFonts w:hint="eastAsia" w:asciiTheme="minorEastAsia" w:hAnsiTheme="minorEastAsia" w:eastAsiaTheme="minorEastAsia" w:cstheme="minorEastAsia"/>
          <w:b w:val="0"/>
          <w:color w:val="auto"/>
          <w:sz w:val="24"/>
          <w:szCs w:val="24"/>
        </w:rPr>
        <w:t>6. 安全文明施工与环境保护</w:t>
      </w:r>
      <w:bookmarkEnd w:id="157"/>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6.1安全文明施工</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6.1.1 项目安全生产的达标目标及相应事项的约定：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6.1.4 关于治安保卫的特别约定：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关于编制施工场地治安管理计划的约定：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6.1.5 文明施工</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合同当事人对文明施工的要求：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6.1.6 关于安全文明施工费支付比例和支付期限的约定：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150"/>
    <w:bookmarkEnd w:id="151"/>
    <w:bookmarkEnd w:id="152"/>
    <w:bookmarkEnd w:id="153"/>
    <w:bookmarkEnd w:id="154"/>
    <w:bookmarkEnd w:id="155"/>
    <w:bookmarkEnd w:id="156"/>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158" w:name="_Toc351203639"/>
      <w:r>
        <w:rPr>
          <w:rFonts w:hint="eastAsia" w:asciiTheme="minorEastAsia" w:hAnsiTheme="minorEastAsia" w:eastAsiaTheme="minorEastAsia" w:cstheme="minorEastAsia"/>
          <w:b w:val="0"/>
          <w:color w:val="auto"/>
          <w:sz w:val="24"/>
          <w:szCs w:val="24"/>
        </w:rPr>
        <w:t>7. 工期和进度</w:t>
      </w:r>
      <w:bookmarkEnd w:id="158"/>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 施工组织设计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7.1.1 合</w:t>
      </w:r>
      <w:r>
        <w:rPr>
          <w:rFonts w:hint="eastAsia" w:asciiTheme="minorEastAsia" w:hAnsiTheme="minorEastAsia" w:eastAsiaTheme="minorEastAsia" w:cstheme="minorEastAsia"/>
          <w:color w:val="auto"/>
          <w:kern w:val="0"/>
          <w:sz w:val="24"/>
          <w:szCs w:val="24"/>
        </w:rPr>
        <w:t>同当事人约定的施工组织设计应包括的其他内容：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 xml:space="preserve">7.1.2 </w:t>
      </w:r>
      <w:r>
        <w:rPr>
          <w:rFonts w:hint="eastAsia" w:asciiTheme="minorEastAsia" w:hAnsiTheme="minorEastAsia" w:eastAsiaTheme="minorEastAsia" w:cstheme="minorEastAsia"/>
          <w:color w:val="auto"/>
          <w:kern w:val="0"/>
          <w:sz w:val="24"/>
          <w:szCs w:val="24"/>
        </w:rPr>
        <w:t>施工组织设计的提交和修改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承包人提交详细施工组织设计的期限的约定：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发包人和监理人在收到详细的施工组织设计后确认或提出修改意见的期限：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bookmarkStart w:id="159" w:name="_Toc303539123"/>
      <w:bookmarkStart w:id="160" w:name="_Toc312677479"/>
      <w:bookmarkStart w:id="161" w:name="_Toc312678005"/>
      <w:bookmarkStart w:id="162" w:name="_Toc300934966"/>
      <w:bookmarkStart w:id="163" w:name="_Toc297123514"/>
      <w:bookmarkStart w:id="164" w:name="_Toc304295541"/>
      <w:bookmarkStart w:id="165" w:name="_Toc297216173"/>
      <w:r>
        <w:rPr>
          <w:rFonts w:hint="eastAsia" w:asciiTheme="minorEastAsia" w:hAnsiTheme="minorEastAsia" w:eastAsiaTheme="minorEastAsia" w:cstheme="minorEastAsia"/>
          <w:color w:val="auto"/>
          <w:sz w:val="24"/>
          <w:szCs w:val="24"/>
        </w:rPr>
        <w:t>.2 施工进度计划</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7.2.2 施工进度计划的修订</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发包人和监理人在收到修订的施工进度计划后确认或提出修改意见的期限：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 开工</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7.3.1 开工准备</w:t>
      </w:r>
    </w:p>
    <w:p>
      <w:pPr>
        <w:spacing w:line="360" w:lineRule="auto"/>
        <w:ind w:firstLine="645"/>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关于承包人提交</w:t>
      </w:r>
      <w:r>
        <w:rPr>
          <w:rFonts w:hint="eastAsia" w:asciiTheme="minorEastAsia" w:hAnsiTheme="minorEastAsia" w:eastAsiaTheme="minorEastAsia" w:cstheme="minorEastAsia"/>
          <w:color w:val="auto"/>
          <w:kern w:val="0"/>
          <w:sz w:val="24"/>
          <w:szCs w:val="24"/>
        </w:rPr>
        <w:t>工程开工报审表的期限：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64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关于发包人应完成的其他开工准备工作及期限：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关于承包人应完成的其他开工准备工作及期限：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7.3.2开工通知</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因发包人原因造成监理人未能在计划开工日期之日起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天内发出开工通知的，承包人有权提出价格调整要求，或者解除合同。</w:t>
      </w:r>
    </w:p>
    <w:bookmarkEnd w:id="159"/>
    <w:bookmarkEnd w:id="160"/>
    <w:bookmarkEnd w:id="161"/>
    <w:bookmarkEnd w:id="162"/>
    <w:bookmarkEnd w:id="163"/>
    <w:bookmarkEnd w:id="164"/>
    <w:bookmarkEnd w:id="165"/>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7.4 测量放线</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7.4.1发包人通过监理人向承包人提供测量基准点、基准线和水准点及其书面资料的期限：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bookmarkStart w:id="166" w:name="_Toc297216175"/>
      <w:bookmarkStart w:id="167" w:name="_Toc312678010"/>
      <w:bookmarkStart w:id="168" w:name="_Toc304295546"/>
      <w:bookmarkStart w:id="169" w:name="_Toc312677484"/>
      <w:bookmarkStart w:id="170" w:name="_Toc303539125"/>
      <w:bookmarkStart w:id="171" w:name="_Toc300934968"/>
      <w:bookmarkStart w:id="172" w:name="_Toc297123516"/>
      <w:r>
        <w:rPr>
          <w:rFonts w:hint="eastAsia" w:asciiTheme="minorEastAsia" w:hAnsiTheme="minorEastAsia" w:eastAsiaTheme="minorEastAsia" w:cstheme="minorEastAsia"/>
          <w:color w:val="auto"/>
          <w:sz w:val="24"/>
          <w:szCs w:val="24"/>
        </w:rPr>
        <w:t>.5 工期延误</w:t>
      </w:r>
    </w:p>
    <w:bookmarkEnd w:id="166"/>
    <w:bookmarkEnd w:id="167"/>
    <w:bookmarkEnd w:id="168"/>
    <w:bookmarkEnd w:id="169"/>
    <w:bookmarkEnd w:id="170"/>
    <w:bookmarkEnd w:id="171"/>
    <w:bookmarkEnd w:id="172"/>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7.5.1 因发包人原因导致工期延误</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（7）因发包人原因导致工期延误的其他情形：</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bookmarkStart w:id="173" w:name="_Toc318581169"/>
      <w:bookmarkStart w:id="174" w:name="_Toc312677486"/>
      <w:bookmarkStart w:id="175" w:name="_Toc312678012"/>
      <w:bookmarkStart w:id="176" w:name="_Toc297123518"/>
      <w:bookmarkStart w:id="177" w:name="_Toc297216177"/>
      <w:bookmarkStart w:id="178" w:name="_Toc303539127"/>
      <w:bookmarkStart w:id="179" w:name="_Toc304295548"/>
      <w:bookmarkStart w:id="180" w:name="_Toc300934970"/>
      <w:r>
        <w:rPr>
          <w:rFonts w:hint="eastAsia" w:asciiTheme="minorEastAsia" w:hAnsiTheme="minorEastAsia" w:eastAsiaTheme="minorEastAsia" w:cstheme="minorEastAsia"/>
          <w:color w:val="auto"/>
          <w:sz w:val="24"/>
          <w:szCs w:val="24"/>
        </w:rPr>
        <w:t>.5.2 因承包人原因导致工期延误</w:t>
      </w:r>
    </w:p>
    <w:bookmarkEnd w:id="173"/>
    <w:bookmarkEnd w:id="174"/>
    <w:bookmarkEnd w:id="175"/>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w:t>
      </w:r>
      <w:bookmarkStart w:id="181" w:name="_Toc312677487"/>
      <w:bookmarkStart w:id="182" w:name="_Toc312678013"/>
      <w:bookmarkStart w:id="183" w:name="_Toc318581170"/>
      <w:r>
        <w:rPr>
          <w:rFonts w:hint="eastAsia" w:asciiTheme="minorEastAsia" w:hAnsiTheme="minorEastAsia" w:eastAsiaTheme="minorEastAsia" w:cstheme="minorEastAsia"/>
          <w:color w:val="auto"/>
          <w:sz w:val="24"/>
          <w:szCs w:val="24"/>
        </w:rPr>
        <w:t>承包人原因造成工期延误，逾期竣工违约金的计算方法为：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176"/>
    <w:bookmarkEnd w:id="177"/>
    <w:bookmarkEnd w:id="178"/>
    <w:bookmarkEnd w:id="179"/>
    <w:bookmarkEnd w:id="180"/>
    <w:bookmarkEnd w:id="181"/>
    <w:bookmarkEnd w:id="182"/>
    <w:bookmarkEnd w:id="183"/>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因承包人原因造成工期延误，逾</w:t>
      </w:r>
      <w:bookmarkStart w:id="184" w:name="_Toc312678014"/>
      <w:bookmarkStart w:id="185" w:name="_Toc318581171"/>
      <w:r>
        <w:rPr>
          <w:rFonts w:hint="eastAsia" w:asciiTheme="minorEastAsia" w:hAnsiTheme="minorEastAsia" w:eastAsiaTheme="minorEastAsia" w:cstheme="minorEastAsia"/>
          <w:color w:val="auto"/>
          <w:sz w:val="24"/>
          <w:szCs w:val="24"/>
        </w:rPr>
        <w:t>期竣工违约金的上限：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184"/>
    <w:bookmarkEnd w:id="185"/>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bookmarkStart w:id="186" w:name="_Toc303539128"/>
      <w:bookmarkStart w:id="187" w:name="_Toc312678015"/>
      <w:bookmarkStart w:id="188" w:name="_Toc297216178"/>
      <w:bookmarkStart w:id="189" w:name="_Toc304295549"/>
      <w:bookmarkStart w:id="190" w:name="_Toc300934971"/>
      <w:bookmarkStart w:id="191" w:name="_Toc297123519"/>
      <w:r>
        <w:rPr>
          <w:rFonts w:hint="eastAsia" w:asciiTheme="minorEastAsia" w:hAnsiTheme="minorEastAsia" w:eastAsiaTheme="minorEastAsia" w:cstheme="minorEastAsia"/>
          <w:color w:val="auto"/>
          <w:sz w:val="24"/>
          <w:szCs w:val="24"/>
        </w:rPr>
        <w:t>.6 不</w:t>
      </w:r>
      <w:bookmarkEnd w:id="186"/>
      <w:bookmarkEnd w:id="187"/>
      <w:bookmarkEnd w:id="188"/>
      <w:bookmarkEnd w:id="189"/>
      <w:bookmarkEnd w:id="190"/>
      <w:bookmarkEnd w:id="191"/>
      <w:r>
        <w:rPr>
          <w:rFonts w:hint="eastAsia" w:asciiTheme="minorEastAsia" w:hAnsiTheme="minorEastAsia" w:eastAsiaTheme="minorEastAsia" w:cstheme="minorEastAsia"/>
          <w:color w:val="auto"/>
          <w:sz w:val="24"/>
          <w:szCs w:val="24"/>
        </w:rPr>
        <w:t>利物质条件</w:t>
      </w:r>
    </w:p>
    <w:p>
      <w:pPr>
        <w:spacing w:line="360" w:lineRule="auto"/>
        <w:ind w:firstLine="480" w:firstLineChars="200"/>
        <w:jc w:val="left"/>
        <w:rPr>
          <w:rFonts w:hint="eastAsia" w:asciiTheme="minorEastAsia" w:hAnsiTheme="minorEastAsia" w:eastAsiaTheme="minorEastAsia" w:cstheme="minorEastAsia"/>
          <w:color w:val="auto"/>
          <w:sz w:val="24"/>
          <w:szCs w:val="24"/>
        </w:rPr>
      </w:pPr>
      <w:bookmarkStart w:id="192" w:name="_Toc318581172"/>
      <w:bookmarkStart w:id="193" w:name="_Toc300934972"/>
      <w:bookmarkStart w:id="194" w:name="_Toc304295550"/>
      <w:bookmarkStart w:id="195" w:name="_Toc312678016"/>
      <w:bookmarkStart w:id="196" w:name="_Toc297123520"/>
      <w:bookmarkStart w:id="197" w:name="_Toc297216179"/>
      <w:bookmarkStart w:id="198" w:name="_Toc303539129"/>
      <w:r>
        <w:rPr>
          <w:rFonts w:hint="eastAsia" w:asciiTheme="minorEastAsia" w:hAnsiTheme="minorEastAsia" w:eastAsiaTheme="minorEastAsia" w:cstheme="minorEastAsia"/>
          <w:color w:val="auto"/>
          <w:sz w:val="24"/>
          <w:szCs w:val="24"/>
        </w:rPr>
        <w:t>不利物质条件的其他情形和有关约定：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192"/>
    <w:bookmarkEnd w:id="193"/>
    <w:bookmarkEnd w:id="194"/>
    <w:bookmarkEnd w:id="195"/>
    <w:bookmarkEnd w:id="196"/>
    <w:bookmarkEnd w:id="197"/>
    <w:bookmarkEnd w:id="198"/>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bookmarkStart w:id="199" w:name="_Toc297216180"/>
      <w:bookmarkStart w:id="200" w:name="_Toc297123521"/>
      <w:bookmarkStart w:id="201" w:name="_Toc312678017"/>
      <w:bookmarkStart w:id="202" w:name="_Toc300934973"/>
      <w:bookmarkStart w:id="203" w:name="_Toc303539130"/>
      <w:bookmarkStart w:id="204" w:name="_Toc304295551"/>
      <w:r>
        <w:rPr>
          <w:rFonts w:hint="eastAsia" w:asciiTheme="minorEastAsia" w:hAnsiTheme="minorEastAsia" w:eastAsiaTheme="minorEastAsia" w:cstheme="minorEastAsia"/>
          <w:color w:val="auto"/>
          <w:sz w:val="24"/>
          <w:szCs w:val="24"/>
        </w:rPr>
        <w:t>.7异常恶劣的气候条件</w:t>
      </w:r>
    </w:p>
    <w:bookmarkEnd w:id="199"/>
    <w:bookmarkEnd w:id="200"/>
    <w:bookmarkEnd w:id="201"/>
    <w:bookmarkEnd w:id="202"/>
    <w:bookmarkEnd w:id="203"/>
    <w:bookmarkEnd w:id="204"/>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发包人和承包人同意以下情形视为异常恶劣的气候条件：</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7.9 提前竣工的奖励</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7.9.2提前竣工的奖励：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205" w:name="_Toc351203640"/>
      <w:r>
        <w:rPr>
          <w:rFonts w:hint="eastAsia" w:asciiTheme="minorEastAsia" w:hAnsiTheme="minorEastAsia" w:eastAsiaTheme="minorEastAsia" w:cstheme="minorEastAsia"/>
          <w:b w:val="0"/>
          <w:color w:val="auto"/>
          <w:sz w:val="24"/>
          <w:szCs w:val="24"/>
        </w:rPr>
        <w:t>8. 材料与设备</w:t>
      </w:r>
      <w:bookmarkEnd w:id="205"/>
    </w:p>
    <w:bookmarkEnd w:id="140"/>
    <w:bookmarkEnd w:id="141"/>
    <w:bookmarkEnd w:id="142"/>
    <w:bookmarkEnd w:id="143"/>
    <w:bookmarkEnd w:id="144"/>
    <w:bookmarkEnd w:id="145"/>
    <w:bookmarkEnd w:id="146"/>
    <w:bookmarkEnd w:id="147"/>
    <w:bookmarkEnd w:id="148"/>
    <w:bookmarkEnd w:id="149"/>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bookmarkStart w:id="206" w:name="_Toc297120467"/>
      <w:bookmarkStart w:id="207" w:name="_Toc300934979"/>
      <w:bookmarkStart w:id="208" w:name="_Toc312678019"/>
      <w:bookmarkStart w:id="209" w:name="_Toc292559372"/>
      <w:bookmarkStart w:id="210" w:name="_Toc312677493"/>
      <w:bookmarkStart w:id="211" w:name="_Toc292559877"/>
      <w:bookmarkStart w:id="212" w:name="_Toc297123527"/>
      <w:bookmarkStart w:id="213" w:name="_Toc304295556"/>
      <w:bookmarkStart w:id="214" w:name="_Toc296890995"/>
      <w:bookmarkStart w:id="215" w:name="_Toc296891207"/>
      <w:bookmarkStart w:id="216" w:name="_Toc296347166"/>
      <w:bookmarkStart w:id="217" w:name="_Toc296503167"/>
      <w:bookmarkStart w:id="218" w:name="_Toc296346668"/>
      <w:bookmarkStart w:id="219" w:name="_Toc297048353"/>
      <w:bookmarkStart w:id="220" w:name="_Toc303539136"/>
      <w:bookmarkStart w:id="221" w:name="_Toc296944506"/>
      <w:bookmarkStart w:id="222" w:name="_Toc280868654"/>
      <w:bookmarkStart w:id="223" w:name="_Toc297216186"/>
      <w:bookmarkStart w:id="224" w:name="_Toc280868656"/>
      <w:bookmarkStart w:id="225" w:name="_Toc280868655"/>
      <w:bookmarkStart w:id="226" w:name="_Toc267251424"/>
      <w:r>
        <w:rPr>
          <w:rFonts w:hint="eastAsia" w:asciiTheme="minorEastAsia" w:hAnsiTheme="minorEastAsia" w:eastAsiaTheme="minorEastAsia" w:cstheme="minorEastAsia"/>
          <w:color w:val="auto"/>
          <w:sz w:val="24"/>
          <w:szCs w:val="24"/>
        </w:rPr>
        <w:t>.4材料与工程设备的保管与使用</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bookmarkStart w:id="227" w:name="_Toc292559878"/>
      <w:bookmarkStart w:id="228" w:name="_Toc292559373"/>
      <w:bookmarkStart w:id="229" w:name="_Toc297048354"/>
      <w:bookmarkStart w:id="230" w:name="_Toc300934980"/>
      <w:bookmarkStart w:id="231" w:name="_Toc297216187"/>
      <w:bookmarkStart w:id="232" w:name="_Toc296503168"/>
      <w:bookmarkStart w:id="233" w:name="_Toc296347167"/>
      <w:bookmarkStart w:id="234" w:name="_Toc304295557"/>
      <w:bookmarkStart w:id="235" w:name="_Toc296346669"/>
      <w:bookmarkStart w:id="236" w:name="_Toc312677494"/>
      <w:bookmarkStart w:id="237" w:name="_Toc296944507"/>
      <w:bookmarkStart w:id="238" w:name="_Toc297120468"/>
      <w:bookmarkStart w:id="239" w:name="_Toc303539137"/>
      <w:bookmarkStart w:id="240" w:name="_Toc296891208"/>
      <w:bookmarkStart w:id="241" w:name="_Toc297123528"/>
      <w:bookmarkStart w:id="242" w:name="_Toc318581173"/>
      <w:bookmarkStart w:id="243" w:name="_Toc312678020"/>
      <w:bookmarkStart w:id="244" w:name="_Toc296890996"/>
      <w:r>
        <w:rPr>
          <w:rFonts w:hint="eastAsia" w:asciiTheme="minorEastAsia" w:hAnsiTheme="minorEastAsia" w:eastAsiaTheme="minorEastAsia" w:cstheme="minorEastAsia"/>
          <w:color w:val="auto"/>
          <w:sz w:val="24"/>
          <w:szCs w:val="24"/>
        </w:rPr>
        <w:t>.4.1发包人供应的材料设备的保管费用的承担：</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bookmarkEnd w:id="227"/>
      <w:bookmarkEnd w:id="228"/>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8.6 样品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8.6.1</w:t>
      </w:r>
      <w:r>
        <w:rPr>
          <w:rFonts w:hint="eastAsia" w:asciiTheme="minorEastAsia" w:hAnsiTheme="minorEastAsia" w:eastAsiaTheme="minorEastAsia" w:cstheme="minorEastAsia"/>
          <w:color w:val="auto"/>
          <w:kern w:val="0"/>
          <w:sz w:val="24"/>
          <w:szCs w:val="24"/>
        </w:rPr>
        <w:tab/>
      </w:r>
      <w:r>
        <w:rPr>
          <w:rFonts w:hint="eastAsia" w:asciiTheme="minorEastAsia" w:hAnsiTheme="minorEastAsia" w:eastAsiaTheme="minorEastAsia" w:cstheme="minorEastAsia"/>
          <w:color w:val="auto"/>
          <w:kern w:val="0"/>
          <w:sz w:val="24"/>
          <w:szCs w:val="24"/>
        </w:rPr>
        <w:t>样品的报送与封存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需要承包人报送样品的材料或工程设备，样品的种类、名称、规格、数量要求：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8.8 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8.8.1 承包人提供的施工设备和临时设施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关于修建临时设施费用承担的约定：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245" w:name="_Toc351203641"/>
      <w:r>
        <w:rPr>
          <w:rFonts w:hint="eastAsia" w:asciiTheme="minorEastAsia" w:hAnsiTheme="minorEastAsia" w:eastAsiaTheme="minorEastAsia" w:cstheme="minorEastAsia"/>
          <w:b w:val="0"/>
          <w:color w:val="auto"/>
          <w:sz w:val="24"/>
          <w:szCs w:val="24"/>
        </w:rPr>
        <w:t>9</w:t>
      </w:r>
      <w:bookmarkEnd w:id="224"/>
      <w:bookmarkEnd w:id="225"/>
      <w:bookmarkEnd w:id="226"/>
      <w:bookmarkStart w:id="246" w:name="_Toc300934982"/>
      <w:bookmarkStart w:id="247" w:name="_Toc303539139"/>
      <w:bookmarkStart w:id="248" w:name="_Toc312678021"/>
      <w:bookmarkStart w:id="249" w:name="_Toc297216192"/>
      <w:bookmarkStart w:id="250" w:name="_Toc304295559"/>
      <w:bookmarkStart w:id="251" w:name="_Toc312677495"/>
      <w:bookmarkStart w:id="252" w:name="_Toc297123533"/>
      <w:bookmarkStart w:id="253" w:name="_Toc292559378"/>
      <w:bookmarkStart w:id="254" w:name="_Toc267251428"/>
      <w:bookmarkStart w:id="255" w:name="_Toc267251427"/>
      <w:bookmarkStart w:id="256" w:name="_Toc296891213"/>
      <w:bookmarkStart w:id="257" w:name="_Toc296347172"/>
      <w:bookmarkStart w:id="258" w:name="_Toc297048359"/>
      <w:bookmarkStart w:id="259" w:name="_Toc296891001"/>
      <w:bookmarkStart w:id="260" w:name="_Toc296503173"/>
      <w:bookmarkStart w:id="261" w:name="_Toc296346674"/>
      <w:bookmarkStart w:id="262" w:name="_Toc297120473"/>
      <w:bookmarkStart w:id="263" w:name="_Toc292559883"/>
      <w:bookmarkStart w:id="264" w:name="_Toc296944512"/>
      <w:r>
        <w:rPr>
          <w:rFonts w:hint="eastAsia" w:asciiTheme="minorEastAsia" w:hAnsiTheme="minorEastAsia" w:eastAsiaTheme="minorEastAsia" w:cstheme="minorEastAsia"/>
          <w:b w:val="0"/>
          <w:color w:val="auto"/>
          <w:sz w:val="24"/>
          <w:szCs w:val="24"/>
        </w:rPr>
        <w:t>. 试验与检验</w:t>
      </w:r>
      <w:bookmarkEnd w:id="245"/>
    </w:p>
    <w:bookmarkEnd w:id="246"/>
    <w:bookmarkEnd w:id="247"/>
    <w:bookmarkEnd w:id="248"/>
    <w:bookmarkEnd w:id="249"/>
    <w:bookmarkEnd w:id="250"/>
    <w:bookmarkEnd w:id="251"/>
    <w:bookmarkEnd w:id="252"/>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w:t>
      </w:r>
      <w:bookmarkStart w:id="265" w:name="_Toc312677496"/>
      <w:bookmarkStart w:id="266" w:name="_Toc304295560"/>
      <w:bookmarkStart w:id="267" w:name="_Toc297216193"/>
      <w:bookmarkStart w:id="268" w:name="_Toc300934983"/>
      <w:bookmarkStart w:id="269" w:name="_Toc297123534"/>
      <w:bookmarkStart w:id="270" w:name="_Toc312678022"/>
      <w:bookmarkStart w:id="271" w:name="_Toc303539140"/>
      <w:r>
        <w:rPr>
          <w:rFonts w:hint="eastAsia" w:asciiTheme="minorEastAsia" w:hAnsiTheme="minorEastAsia" w:eastAsiaTheme="minorEastAsia" w:cstheme="minorEastAsia"/>
          <w:color w:val="auto"/>
          <w:sz w:val="24"/>
          <w:szCs w:val="24"/>
        </w:rPr>
        <w:t>.1试验设备与试验人员</w:t>
      </w:r>
    </w:p>
    <w:bookmarkEnd w:id="265"/>
    <w:bookmarkEnd w:id="266"/>
    <w:bookmarkEnd w:id="267"/>
    <w:bookmarkEnd w:id="268"/>
    <w:bookmarkEnd w:id="269"/>
    <w:bookmarkEnd w:id="270"/>
    <w:bookmarkEnd w:id="271"/>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w:t>
      </w:r>
      <w:bookmarkStart w:id="272" w:name="_Toc312677497"/>
      <w:bookmarkStart w:id="273" w:name="_Toc304295561"/>
      <w:bookmarkStart w:id="274" w:name="_Toc303539141"/>
      <w:bookmarkStart w:id="275" w:name="_Toc297123535"/>
      <w:bookmarkStart w:id="276" w:name="_Toc297216194"/>
      <w:bookmarkStart w:id="277" w:name="_Toc300934984"/>
      <w:bookmarkStart w:id="278" w:name="_Toc312678023"/>
      <w:bookmarkStart w:id="279" w:name="_Toc318581174"/>
      <w:r>
        <w:rPr>
          <w:rFonts w:hint="eastAsia" w:asciiTheme="minorEastAsia" w:hAnsiTheme="minorEastAsia" w:eastAsiaTheme="minorEastAsia" w:cstheme="minorEastAsia"/>
          <w:color w:val="auto"/>
          <w:sz w:val="24"/>
          <w:szCs w:val="24"/>
        </w:rPr>
        <w:t>.1.2 试验设备</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施工现场需要配置的试验场所：</w:t>
      </w:r>
      <w:bookmarkEnd w:id="272"/>
      <w:bookmarkEnd w:id="273"/>
      <w:bookmarkEnd w:id="274"/>
      <w:bookmarkEnd w:id="275"/>
      <w:bookmarkEnd w:id="276"/>
      <w:bookmarkEnd w:id="277"/>
      <w:bookmarkEnd w:id="278"/>
      <w:bookmarkStart w:id="280" w:name="_Toc304295562"/>
      <w:bookmarkStart w:id="281" w:name="_Toc300934985"/>
      <w:bookmarkStart w:id="282" w:name="_Toc303539142"/>
      <w:bookmarkStart w:id="283" w:name="_Toc312677498"/>
      <w:bookmarkStart w:id="284" w:name="_Toc297216195"/>
      <w:bookmarkStart w:id="285" w:name="_Toc312678024"/>
      <w:bookmarkStart w:id="286" w:name="_Toc297123536"/>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施工现场需要配备的试验设备：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施工现场需要具备的其他试验条件：</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9.4 现场工艺试验 </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现场工艺试验的有关约定：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279"/>
    <w:bookmarkEnd w:id="280"/>
    <w:bookmarkEnd w:id="281"/>
    <w:bookmarkEnd w:id="282"/>
    <w:bookmarkEnd w:id="283"/>
    <w:bookmarkEnd w:id="284"/>
    <w:bookmarkEnd w:id="285"/>
    <w:bookmarkEnd w:id="286"/>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287" w:name="_Toc351203642"/>
      <w:r>
        <w:rPr>
          <w:rFonts w:hint="eastAsia" w:asciiTheme="minorEastAsia" w:hAnsiTheme="minorEastAsia" w:eastAsiaTheme="minorEastAsia" w:cstheme="minorEastAsia"/>
          <w:b w:val="0"/>
          <w:color w:val="auto"/>
          <w:sz w:val="24"/>
          <w:szCs w:val="24"/>
        </w:rPr>
        <w:t>1</w:t>
      </w:r>
      <w:bookmarkEnd w:id="253"/>
      <w:bookmarkEnd w:id="254"/>
      <w:bookmarkEnd w:id="255"/>
      <w:bookmarkEnd w:id="256"/>
      <w:bookmarkEnd w:id="257"/>
      <w:bookmarkEnd w:id="258"/>
      <w:bookmarkEnd w:id="259"/>
      <w:bookmarkEnd w:id="260"/>
      <w:bookmarkEnd w:id="261"/>
      <w:bookmarkEnd w:id="262"/>
      <w:bookmarkEnd w:id="263"/>
      <w:bookmarkEnd w:id="264"/>
      <w:bookmarkStart w:id="288" w:name="_Toc296891233"/>
      <w:bookmarkStart w:id="289" w:name="_Toc297048379"/>
      <w:bookmarkStart w:id="290" w:name="_Toc297120493"/>
      <w:bookmarkStart w:id="291" w:name="_Toc296891021"/>
      <w:bookmarkStart w:id="292" w:name="_Toc292559398"/>
      <w:bookmarkStart w:id="293" w:name="_Toc304295566"/>
      <w:bookmarkStart w:id="294" w:name="_Toc303539146"/>
      <w:bookmarkStart w:id="295" w:name="_Toc296347192"/>
      <w:bookmarkStart w:id="296" w:name="_Toc297216199"/>
      <w:bookmarkStart w:id="297" w:name="_Toc296503193"/>
      <w:bookmarkStart w:id="298" w:name="_Toc296346694"/>
      <w:bookmarkStart w:id="299" w:name="_Toc300934989"/>
      <w:bookmarkStart w:id="300" w:name="_Toc297123540"/>
      <w:bookmarkStart w:id="301" w:name="_Toc292559903"/>
      <w:bookmarkStart w:id="302" w:name="_Toc296944532"/>
      <w:bookmarkStart w:id="303" w:name="_Toc312677499"/>
      <w:bookmarkStart w:id="304" w:name="_Toc312678025"/>
      <w:bookmarkStart w:id="305" w:name="_Toc267251435"/>
      <w:bookmarkStart w:id="306" w:name="_Toc267251439"/>
      <w:bookmarkStart w:id="307" w:name="_Toc267251441"/>
      <w:bookmarkStart w:id="308" w:name="_Toc267251433"/>
      <w:bookmarkStart w:id="309" w:name="_Toc267251440"/>
      <w:bookmarkStart w:id="310" w:name="_Toc267251437"/>
      <w:bookmarkStart w:id="311" w:name="_Toc267251442"/>
      <w:r>
        <w:rPr>
          <w:rFonts w:hint="eastAsia" w:asciiTheme="minorEastAsia" w:hAnsiTheme="minorEastAsia" w:eastAsiaTheme="minorEastAsia" w:cstheme="minorEastAsia"/>
          <w:b w:val="0"/>
          <w:color w:val="auto"/>
          <w:sz w:val="24"/>
          <w:szCs w:val="24"/>
        </w:rPr>
        <w:t>0. 变更</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303"/>
    <w:bookmarkEnd w:id="304"/>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Start w:id="312" w:name="_Toc297123541"/>
      <w:bookmarkStart w:id="313" w:name="_Toc296503194"/>
      <w:bookmarkStart w:id="314" w:name="_Toc300934990"/>
      <w:bookmarkStart w:id="315" w:name="_Toc304295567"/>
      <w:bookmarkStart w:id="316" w:name="_Toc296346695"/>
      <w:bookmarkStart w:id="317" w:name="_Toc297048380"/>
      <w:bookmarkStart w:id="318" w:name="_Toc292559399"/>
      <w:bookmarkStart w:id="319" w:name="_Toc296891022"/>
      <w:bookmarkStart w:id="320" w:name="_Toc292559904"/>
      <w:bookmarkStart w:id="321" w:name="_Toc312678026"/>
      <w:bookmarkStart w:id="322" w:name="_Toc296891234"/>
      <w:bookmarkStart w:id="323" w:name="_Toc296944533"/>
      <w:bookmarkStart w:id="324" w:name="_Toc312677500"/>
      <w:bookmarkStart w:id="325" w:name="_Toc297216200"/>
      <w:bookmarkStart w:id="326" w:name="_Toc297120494"/>
      <w:bookmarkStart w:id="327" w:name="_Toc296347193"/>
      <w:bookmarkStart w:id="328" w:name="_Toc303539147"/>
      <w:r>
        <w:rPr>
          <w:rFonts w:hint="eastAsia" w:asciiTheme="minorEastAsia" w:hAnsiTheme="minorEastAsia" w:eastAsiaTheme="minorEastAsia" w:cstheme="minorEastAsia"/>
          <w:color w:val="auto"/>
          <w:sz w:val="24"/>
          <w:szCs w:val="24"/>
        </w:rPr>
        <w:t>0.1变更的范围</w:t>
      </w:r>
    </w:p>
    <w:p>
      <w:pPr>
        <w:spacing w:line="360" w:lineRule="auto"/>
        <w:ind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关于变更的范围的约定：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10.4 变更估价</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10.4.1 变更估价原则</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关于变更估价的约定: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Start w:id="329" w:name="_Toc296503197"/>
      <w:bookmarkStart w:id="330" w:name="_Toc296347196"/>
      <w:bookmarkStart w:id="331" w:name="_Toc297120497"/>
      <w:bookmarkStart w:id="332" w:name="_Toc297216203"/>
      <w:bookmarkStart w:id="333" w:name="_Toc292559907"/>
      <w:bookmarkStart w:id="334" w:name="_Toc296891025"/>
      <w:bookmarkStart w:id="335" w:name="_Toc292559402"/>
      <w:bookmarkStart w:id="336" w:name="_Toc296944536"/>
      <w:bookmarkStart w:id="337" w:name="_Toc303539150"/>
      <w:bookmarkStart w:id="338" w:name="_Toc300934993"/>
      <w:bookmarkStart w:id="339" w:name="_Toc297048383"/>
      <w:bookmarkStart w:id="340" w:name="_Toc296346698"/>
      <w:bookmarkStart w:id="341" w:name="_Toc297123544"/>
      <w:bookmarkStart w:id="342" w:name="_Toc296891237"/>
      <w:bookmarkStart w:id="343" w:name="_Toc304295570"/>
      <w:bookmarkStart w:id="344" w:name="_Toc312677503"/>
      <w:bookmarkStart w:id="345" w:name="_Toc312678029"/>
      <w:r>
        <w:rPr>
          <w:rFonts w:hint="eastAsia" w:asciiTheme="minorEastAsia" w:hAnsiTheme="minorEastAsia" w:eastAsiaTheme="minorEastAsia" w:cstheme="minorEastAsia"/>
          <w:color w:val="auto"/>
          <w:sz w:val="24"/>
          <w:szCs w:val="24"/>
        </w:rPr>
        <w:t>0.5承</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Start w:id="346" w:name="_Toc296347202"/>
      <w:bookmarkStart w:id="347" w:name="_Toc292559913"/>
      <w:bookmarkStart w:id="348" w:name="_Toc296891243"/>
      <w:bookmarkStart w:id="349" w:name="_Toc300934994"/>
      <w:bookmarkStart w:id="350" w:name="_Toc297120503"/>
      <w:bookmarkStart w:id="351" w:name="_Toc297048389"/>
      <w:bookmarkStart w:id="352" w:name="_Toc297216204"/>
      <w:bookmarkStart w:id="353" w:name="_Toc292559408"/>
      <w:bookmarkStart w:id="354" w:name="_Toc296503203"/>
      <w:bookmarkStart w:id="355" w:name="_Toc296346704"/>
      <w:bookmarkStart w:id="356" w:name="_Toc297123545"/>
      <w:bookmarkStart w:id="357" w:name="_Toc303539151"/>
      <w:bookmarkStart w:id="358" w:name="_Toc296944542"/>
      <w:bookmarkStart w:id="359" w:name="_Toc296891031"/>
      <w:r>
        <w:rPr>
          <w:rFonts w:hint="eastAsia" w:asciiTheme="minorEastAsia" w:hAnsiTheme="minorEastAsia" w:eastAsiaTheme="minorEastAsia" w:cstheme="minorEastAsia"/>
          <w:color w:val="auto"/>
          <w:sz w:val="24"/>
          <w:szCs w:val="24"/>
        </w:rPr>
        <w:t>包人的合理化建议</w:t>
      </w:r>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监理人审查承包人合理化建议的期限：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发包人审批承包人合理化建议的期限：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承</w:t>
      </w:r>
      <w:bookmarkStart w:id="360" w:name="_Toc297120504"/>
      <w:bookmarkStart w:id="361" w:name="_Toc296347203"/>
      <w:bookmarkStart w:id="362" w:name="_Toc296891244"/>
      <w:bookmarkStart w:id="363" w:name="_Toc312677504"/>
      <w:bookmarkStart w:id="364" w:name="_Toc296944543"/>
      <w:bookmarkStart w:id="365" w:name="_Toc296503204"/>
      <w:bookmarkStart w:id="366" w:name="_Toc296346705"/>
      <w:bookmarkStart w:id="367" w:name="_Toc312678030"/>
      <w:bookmarkStart w:id="368" w:name="_Toc304295571"/>
      <w:bookmarkStart w:id="369" w:name="_Toc292559409"/>
      <w:bookmarkStart w:id="370" w:name="_Toc297216205"/>
      <w:bookmarkStart w:id="371" w:name="_Toc297123546"/>
      <w:bookmarkStart w:id="372" w:name="_Toc297048390"/>
      <w:bookmarkStart w:id="373" w:name="_Toc296891032"/>
      <w:bookmarkStart w:id="374" w:name="_Toc318581175"/>
      <w:bookmarkStart w:id="375" w:name="_Toc292559914"/>
      <w:bookmarkStart w:id="376" w:name="_Toc300934995"/>
      <w:bookmarkStart w:id="377" w:name="_Toc303539152"/>
      <w:r>
        <w:rPr>
          <w:rFonts w:hint="eastAsia" w:asciiTheme="minorEastAsia" w:hAnsiTheme="minorEastAsia" w:eastAsiaTheme="minorEastAsia" w:cstheme="minorEastAsia"/>
          <w:color w:val="auto"/>
          <w:sz w:val="24"/>
          <w:szCs w:val="24"/>
        </w:rPr>
        <w:t>包人提出的合理化建议降低了合同价格或者提高了工程经济效益的奖励的方法和金额为：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Start w:id="378" w:name="_Toc312677507"/>
      <w:bookmarkStart w:id="379" w:name="_Toc296944538"/>
      <w:bookmarkStart w:id="380" w:name="_Toc297216207"/>
      <w:bookmarkStart w:id="381" w:name="_Toc312678033"/>
      <w:bookmarkStart w:id="382" w:name="_Toc297123548"/>
      <w:bookmarkStart w:id="383" w:name="_Toc297120499"/>
      <w:bookmarkStart w:id="384" w:name="_Toc303539154"/>
      <w:bookmarkStart w:id="385" w:name="_Toc300934997"/>
      <w:bookmarkStart w:id="386" w:name="_Toc296347198"/>
      <w:bookmarkStart w:id="387" w:name="_Toc292559404"/>
      <w:bookmarkStart w:id="388" w:name="_Toc304295574"/>
      <w:bookmarkStart w:id="389" w:name="_Toc296503199"/>
      <w:bookmarkStart w:id="390" w:name="_Toc296891239"/>
      <w:bookmarkStart w:id="391" w:name="_Toc292559909"/>
      <w:bookmarkStart w:id="392" w:name="_Toc296891027"/>
      <w:bookmarkStart w:id="393" w:name="_Toc296346700"/>
      <w:bookmarkStart w:id="394" w:name="_Toc297048385"/>
      <w:r>
        <w:rPr>
          <w:rFonts w:hint="eastAsia" w:asciiTheme="minorEastAsia" w:hAnsiTheme="minorEastAsia" w:eastAsiaTheme="minorEastAsia" w:cstheme="minorEastAsia"/>
          <w:color w:val="auto"/>
          <w:sz w:val="24"/>
          <w:szCs w:val="24"/>
        </w:rPr>
        <w:t>0.7 暂估价</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暂</w:t>
      </w:r>
      <w:bookmarkStart w:id="395" w:name="_Toc312677508"/>
      <w:bookmarkStart w:id="396" w:name="_Toc318581176"/>
      <w:bookmarkStart w:id="397" w:name="_Toc312678034"/>
      <w:r>
        <w:rPr>
          <w:rFonts w:hint="eastAsia" w:asciiTheme="minorEastAsia" w:hAnsiTheme="minorEastAsia" w:eastAsiaTheme="minorEastAsia" w:cstheme="minorEastAsia"/>
          <w:color w:val="auto"/>
          <w:kern w:val="0"/>
          <w:sz w:val="24"/>
          <w:szCs w:val="24"/>
        </w:rPr>
        <w:t>估价材料和工程设备的明细详见附件11：《</w:t>
      </w:r>
      <w:r>
        <w:rPr>
          <w:rFonts w:hint="eastAsia" w:asciiTheme="minorEastAsia" w:hAnsiTheme="minorEastAsia" w:eastAsiaTheme="minorEastAsia" w:cstheme="minorEastAsia"/>
          <w:color w:val="auto"/>
          <w:sz w:val="24"/>
          <w:szCs w:val="24"/>
        </w:rPr>
        <w:t>暂估价一览表》</w:t>
      </w:r>
      <w:r>
        <w:rPr>
          <w:rFonts w:hint="eastAsia" w:asciiTheme="minorEastAsia" w:hAnsiTheme="minorEastAsia" w:eastAsiaTheme="minorEastAsia" w:cstheme="minorEastAsia"/>
          <w:color w:val="auto"/>
          <w:kern w:val="0"/>
          <w:sz w:val="24"/>
          <w:szCs w:val="24"/>
        </w:rPr>
        <w:t>。</w:t>
      </w:r>
    </w:p>
    <w:bookmarkEnd w:id="395"/>
    <w:bookmarkEnd w:id="396"/>
    <w:bookmarkEnd w:id="397"/>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Start w:id="398" w:name="_Toc312677509"/>
      <w:bookmarkStart w:id="399" w:name="_Toc318581177"/>
      <w:bookmarkStart w:id="400" w:name="_Toc312678035"/>
      <w:r>
        <w:rPr>
          <w:rFonts w:hint="eastAsia" w:asciiTheme="minorEastAsia" w:hAnsiTheme="minorEastAsia" w:eastAsiaTheme="minorEastAsia" w:cstheme="minorEastAsia"/>
          <w:color w:val="auto"/>
          <w:sz w:val="24"/>
          <w:szCs w:val="24"/>
        </w:rPr>
        <w:t>0.7.1 依法必须招标的暂估价项目</w:t>
      </w:r>
    </w:p>
    <w:bookmarkEnd w:id="398"/>
    <w:bookmarkEnd w:id="399"/>
    <w:bookmarkEnd w:id="400"/>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对于依法必须招标的暂估价项目的确认和批准采取第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种方式确定。</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10.7.2 不属于依法必须招标的暂估价项目</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对于不属于依法必须招标的暂估价项目的确认和批准采取第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种方式确定。</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第3种方式：</w:t>
      </w:r>
      <w:r>
        <w:rPr>
          <w:rFonts w:hint="eastAsia" w:asciiTheme="minorEastAsia" w:hAnsiTheme="minorEastAsia" w:eastAsiaTheme="minorEastAsia" w:cstheme="minorEastAsia"/>
          <w:color w:val="auto"/>
          <w:kern w:val="0"/>
          <w:sz w:val="24"/>
          <w:szCs w:val="24"/>
        </w:rPr>
        <w:t>承包人直接实施的暂估价项目</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承包人直接实施的暂估价项目的约定：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10.8 暂列金额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合同当事人关于暂列金额使用的约定：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401" w:name="_Toc351203643"/>
      <w:r>
        <w:rPr>
          <w:rFonts w:hint="eastAsia" w:asciiTheme="minorEastAsia" w:hAnsiTheme="minorEastAsia" w:eastAsiaTheme="minorEastAsia" w:cstheme="minorEastAsia"/>
          <w:b w:val="0"/>
          <w:color w:val="auto"/>
          <w:sz w:val="24"/>
          <w:szCs w:val="24"/>
        </w:rPr>
        <w:t>11. 价格调整</w:t>
      </w:r>
      <w:bookmarkEnd w:id="401"/>
    </w:p>
    <w:p>
      <w:pPr>
        <w:spacing w:after="120" w:line="360" w:lineRule="auto"/>
        <w:ind w:firstLine="480" w:firstLineChars="200"/>
        <w:rPr>
          <w:rFonts w:hint="eastAsia" w:asciiTheme="minorEastAsia" w:hAnsiTheme="minorEastAsia" w:eastAsiaTheme="minorEastAsia" w:cstheme="minorEastAsia"/>
          <w:color w:val="auto"/>
          <w:sz w:val="24"/>
          <w:szCs w:val="24"/>
        </w:rPr>
      </w:pPr>
      <w:bookmarkStart w:id="402" w:name="_Toc296891029"/>
      <w:bookmarkStart w:id="403" w:name="_Toc303539157"/>
      <w:bookmarkStart w:id="404" w:name="_Toc296503201"/>
      <w:bookmarkStart w:id="405" w:name="_Toc304295577"/>
      <w:bookmarkStart w:id="406" w:name="_Toc296346702"/>
      <w:bookmarkStart w:id="407" w:name="_Toc300935000"/>
      <w:bookmarkStart w:id="408" w:name="_Toc312678039"/>
      <w:bookmarkStart w:id="409" w:name="_Toc297048387"/>
      <w:bookmarkStart w:id="410" w:name="_Toc297120501"/>
      <w:bookmarkStart w:id="411" w:name="_Toc296944540"/>
      <w:bookmarkStart w:id="412" w:name="_Toc292559911"/>
      <w:bookmarkStart w:id="413" w:name="_Toc292559406"/>
      <w:bookmarkStart w:id="414" w:name="_Toc297216209"/>
      <w:bookmarkStart w:id="415" w:name="_Toc296347200"/>
      <w:bookmarkStart w:id="416" w:name="_Toc296891241"/>
      <w:bookmarkStart w:id="417" w:name="_Toc297123550"/>
      <w:r>
        <w:rPr>
          <w:rFonts w:hint="eastAsia" w:asciiTheme="minorEastAsia" w:hAnsiTheme="minorEastAsia" w:eastAsiaTheme="minorEastAsia" w:cstheme="minorEastAsia"/>
          <w:color w:val="auto"/>
          <w:sz w:val="24"/>
          <w:szCs w:val="24"/>
        </w:rPr>
        <w:t>11.1 市场价格波动引起的调整</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市场价格波动是否调整合同价格的约定：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因市场价格波动调整合同价格，采用以下第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种方式对合同价格进行调整：</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第1种方式：采用价格指数进行价格调整。</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关于各可调因子、定值和变值权重，以及基本价格指数及其来源的约定：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第2种方式：采用造价信息进行价格调整。</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（2）关于基准价格的约定：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%时，或材料单价跌幅以已标价工程量清单或预算书中载明材料单价为基础超过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%时，其超过部分据实调整。</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%时，材料单价涨幅以已标价工程量清单或预算书中载明材料单价为基础超过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%时，其超过部分据实调整。</w:t>
      </w:r>
    </w:p>
    <w:p>
      <w:pPr>
        <w:spacing w:line="360" w:lineRule="auto"/>
        <w:ind w:firstLine="64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%时，其超过部分据实调整。</w:t>
      </w:r>
    </w:p>
    <w:p>
      <w:pPr>
        <w:spacing w:line="360" w:lineRule="auto"/>
        <w:ind w:firstLine="64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第3种方式：其他价格调整方式：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305"/>
    <w:bookmarkEnd w:id="306"/>
    <w:bookmarkEnd w:id="307"/>
    <w:bookmarkEnd w:id="308"/>
    <w:bookmarkEnd w:id="309"/>
    <w:bookmarkEnd w:id="310"/>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418" w:name="_Toc296891033"/>
      <w:bookmarkStart w:id="419" w:name="_Toc296944544"/>
      <w:bookmarkStart w:id="420" w:name="_Toc296503205"/>
      <w:bookmarkStart w:id="421" w:name="_Toc296346706"/>
      <w:bookmarkStart w:id="422" w:name="_Toc297048391"/>
      <w:bookmarkStart w:id="423" w:name="_Toc296347204"/>
      <w:bookmarkStart w:id="424" w:name="_Toc296891245"/>
      <w:bookmarkStart w:id="425" w:name="_Toc297120505"/>
      <w:bookmarkStart w:id="426" w:name="_Toc292559410"/>
      <w:bookmarkStart w:id="427" w:name="_Toc292559915"/>
      <w:bookmarkStart w:id="428" w:name="_Toc351203644"/>
      <w:bookmarkStart w:id="429" w:name="_Toc300935002"/>
      <w:bookmarkStart w:id="430" w:name="_Toc303539159"/>
      <w:bookmarkStart w:id="431" w:name="_Toc297123552"/>
      <w:bookmarkStart w:id="432" w:name="_Toc297216211"/>
      <w:bookmarkStart w:id="433" w:name="_Toc304295579"/>
      <w:bookmarkStart w:id="434" w:name="_Toc312678040"/>
      <w:r>
        <w:rPr>
          <w:rFonts w:hint="eastAsia" w:asciiTheme="minorEastAsia" w:hAnsiTheme="minorEastAsia" w:eastAsiaTheme="minorEastAsia" w:cstheme="minorEastAsia"/>
          <w:b w:val="0"/>
          <w:color w:val="auto"/>
          <w:sz w:val="24"/>
          <w:szCs w:val="24"/>
        </w:rPr>
        <w:t xml:space="preserve">12. </w:t>
      </w:r>
      <w:bookmarkEnd w:id="418"/>
      <w:bookmarkEnd w:id="419"/>
      <w:bookmarkEnd w:id="420"/>
      <w:bookmarkEnd w:id="421"/>
      <w:bookmarkEnd w:id="422"/>
      <w:bookmarkEnd w:id="423"/>
      <w:bookmarkEnd w:id="424"/>
      <w:bookmarkEnd w:id="425"/>
      <w:bookmarkEnd w:id="426"/>
      <w:bookmarkEnd w:id="427"/>
      <w:r>
        <w:rPr>
          <w:rFonts w:hint="eastAsia" w:asciiTheme="minorEastAsia" w:hAnsiTheme="minorEastAsia" w:eastAsiaTheme="minorEastAsia" w:cstheme="minorEastAsia"/>
          <w:b w:val="0"/>
          <w:color w:val="auto"/>
          <w:sz w:val="24"/>
          <w:szCs w:val="24"/>
        </w:rPr>
        <w:t>合同价格、计量与支付</w:t>
      </w:r>
      <w:bookmarkEnd w:id="428"/>
    </w:p>
    <w:bookmarkEnd w:id="429"/>
    <w:bookmarkEnd w:id="430"/>
    <w:bookmarkEnd w:id="431"/>
    <w:bookmarkEnd w:id="432"/>
    <w:bookmarkEnd w:id="433"/>
    <w:bookmarkEnd w:id="434"/>
    <w:p>
      <w:pPr>
        <w:spacing w:after="120" w:line="360" w:lineRule="auto"/>
        <w:ind w:firstLine="480" w:firstLineChars="200"/>
        <w:rPr>
          <w:rFonts w:hint="eastAsia" w:asciiTheme="minorEastAsia" w:hAnsiTheme="minorEastAsia" w:eastAsiaTheme="minorEastAsia" w:cstheme="minorEastAsia"/>
          <w:color w:val="auto"/>
          <w:sz w:val="24"/>
          <w:szCs w:val="24"/>
        </w:rPr>
      </w:pPr>
      <w:bookmarkStart w:id="435" w:name="_Toc267251461"/>
      <w:bookmarkStart w:id="436" w:name="_Toc292559916"/>
      <w:bookmarkStart w:id="437" w:name="_Toc292559411"/>
      <w:bookmarkStart w:id="438" w:name="_Toc296347205"/>
      <w:bookmarkStart w:id="439" w:name="_Toc296891246"/>
      <w:bookmarkStart w:id="440" w:name="_Toc296891034"/>
      <w:bookmarkStart w:id="441" w:name="_Toc296944545"/>
      <w:bookmarkStart w:id="442" w:name="_Toc297048392"/>
      <w:bookmarkStart w:id="443" w:name="_Toc296503206"/>
      <w:bookmarkStart w:id="444" w:name="_Toc297120506"/>
      <w:bookmarkStart w:id="445" w:name="_Toc296346707"/>
      <w:bookmarkStart w:id="446" w:name="_Toc304295580"/>
      <w:bookmarkStart w:id="447" w:name="_Toc297123553"/>
      <w:bookmarkStart w:id="448" w:name="_Toc312678041"/>
      <w:bookmarkStart w:id="449" w:name="_Toc297216212"/>
      <w:bookmarkStart w:id="450" w:name="_Toc300935003"/>
      <w:bookmarkStart w:id="451" w:name="_Toc303539160"/>
      <w:r>
        <w:rPr>
          <w:rFonts w:hint="eastAsia" w:asciiTheme="minorEastAsia" w:hAnsiTheme="minorEastAsia" w:eastAsiaTheme="minorEastAsia" w:cstheme="minorEastAsia"/>
          <w:color w:val="auto"/>
          <w:sz w:val="24"/>
          <w:szCs w:val="24"/>
        </w:rPr>
        <w:t>12.1 合</w:t>
      </w:r>
      <w:bookmarkEnd w:id="435"/>
      <w:bookmarkEnd w:id="436"/>
      <w:bookmarkEnd w:id="437"/>
      <w:r>
        <w:rPr>
          <w:rFonts w:hint="eastAsia" w:asciiTheme="minorEastAsia" w:hAnsiTheme="minorEastAsia" w:eastAsiaTheme="minorEastAsia" w:cstheme="minorEastAsia"/>
          <w:color w:val="auto"/>
          <w:sz w:val="24"/>
          <w:szCs w:val="24"/>
        </w:rPr>
        <w:t>同价</w:t>
      </w:r>
      <w:bookmarkEnd w:id="438"/>
      <w:bookmarkEnd w:id="439"/>
      <w:bookmarkEnd w:id="440"/>
      <w:bookmarkEnd w:id="441"/>
      <w:bookmarkEnd w:id="442"/>
      <w:bookmarkEnd w:id="443"/>
      <w:bookmarkEnd w:id="444"/>
      <w:bookmarkEnd w:id="445"/>
      <w:r>
        <w:rPr>
          <w:rFonts w:hint="eastAsia" w:asciiTheme="minorEastAsia" w:hAnsiTheme="minorEastAsia" w:eastAsiaTheme="minorEastAsia" w:cstheme="minorEastAsia"/>
          <w:color w:val="auto"/>
          <w:sz w:val="24"/>
          <w:szCs w:val="24"/>
        </w:rPr>
        <w:t>格形式</w:t>
      </w:r>
    </w:p>
    <w:bookmarkEnd w:id="446"/>
    <w:bookmarkEnd w:id="447"/>
    <w:bookmarkEnd w:id="448"/>
    <w:bookmarkEnd w:id="449"/>
    <w:bookmarkEnd w:id="450"/>
    <w:bookmarkEnd w:id="451"/>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1、单价合同。</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综合单价包含的风险范围：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风险费用的计算方法：</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风险范围以外合同价格的调整方法：</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2、总价合同。</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总价包含的风险范围：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风险费用的计算方法：</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风险范围以外合同价格的调整方法：</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3、其他价格方式：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bookmarkStart w:id="452" w:name="_Toc297216213"/>
      <w:bookmarkStart w:id="453" w:name="_Toc300935004"/>
      <w:bookmarkStart w:id="454" w:name="_Toc304295581"/>
      <w:bookmarkStart w:id="455" w:name="_Toc312678042"/>
      <w:bookmarkStart w:id="456" w:name="_Toc303539161"/>
      <w:bookmarkStart w:id="457" w:name="_Toc297123554"/>
      <w:bookmarkStart w:id="458" w:name="_Toc296944546"/>
      <w:bookmarkStart w:id="459" w:name="_Toc296891247"/>
      <w:bookmarkStart w:id="460" w:name="_Toc296503207"/>
      <w:bookmarkStart w:id="461" w:name="_Toc296346708"/>
      <w:bookmarkStart w:id="462" w:name="_Toc296347206"/>
      <w:bookmarkStart w:id="463" w:name="_Toc297120507"/>
      <w:bookmarkStart w:id="464" w:name="_Toc297048393"/>
      <w:bookmarkStart w:id="465" w:name="_Toc296891035"/>
      <w:bookmarkStart w:id="466" w:name="_Toc292559412"/>
      <w:bookmarkStart w:id="467" w:name="_Toc292559917"/>
      <w:r>
        <w:rPr>
          <w:rFonts w:hint="eastAsia" w:asciiTheme="minorEastAsia" w:hAnsiTheme="minorEastAsia" w:eastAsiaTheme="minorEastAsia" w:cstheme="minorEastAsia"/>
          <w:color w:val="auto"/>
          <w:sz w:val="24"/>
          <w:szCs w:val="24"/>
        </w:rPr>
        <w:t>12.2 预付款</w:t>
      </w:r>
    </w:p>
    <w:bookmarkEnd w:id="452"/>
    <w:bookmarkEnd w:id="453"/>
    <w:bookmarkEnd w:id="454"/>
    <w:bookmarkEnd w:id="455"/>
    <w:bookmarkEnd w:id="456"/>
    <w:bookmarkEnd w:id="457"/>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12.2.1 预付款的支付</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预付款支付比例或金额：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预付款支付期限：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预付款扣回的方式：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12.2.2 预付款担保</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承包人提交预付款担保的期限：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预付款担保的形式为：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458"/>
    <w:bookmarkEnd w:id="459"/>
    <w:bookmarkEnd w:id="460"/>
    <w:bookmarkEnd w:id="461"/>
    <w:bookmarkEnd w:id="462"/>
    <w:bookmarkEnd w:id="463"/>
    <w:bookmarkEnd w:id="464"/>
    <w:bookmarkEnd w:id="465"/>
    <w:bookmarkEnd w:id="466"/>
    <w:bookmarkEnd w:id="467"/>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 计量</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12.3.1 计量原则</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工程量计算规则：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12.3.2 计量周期</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关于计量周期的约定：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12.3.3 单价合同的计量</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关于单价合同计量的约定：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12.3.4 总价合同的计量</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关于总价合同计量的约定：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12.3.5总价合同采用支付分解表计量支付的，是否适用第</w:t>
      </w:r>
      <w:r>
        <w:rPr>
          <w:rFonts w:hint="eastAsia" w:asciiTheme="minorEastAsia" w:hAnsiTheme="minorEastAsia" w:eastAsiaTheme="minorEastAsia" w:cstheme="minorEastAsia"/>
          <w:color w:val="auto"/>
          <w:kern w:val="0"/>
          <w:sz w:val="24"/>
          <w:szCs w:val="24"/>
        </w:rPr>
        <w:t xml:space="preserve">12.3.4 </w:t>
      </w:r>
      <w:r>
        <w:rPr>
          <w:rFonts w:hint="eastAsia" w:asciiTheme="minorEastAsia" w:hAnsiTheme="minorEastAsia" w:eastAsiaTheme="minorEastAsia" w:cstheme="minorEastAsia"/>
          <w:color w:val="auto"/>
          <w:sz w:val="24"/>
          <w:szCs w:val="24"/>
        </w:rPr>
        <w:t>项</w:t>
      </w:r>
      <w:r>
        <w:rPr>
          <w:rFonts w:hint="eastAsia" w:asciiTheme="minorEastAsia" w:hAnsiTheme="minorEastAsia" w:eastAsiaTheme="minorEastAsia" w:cstheme="minorEastAsia"/>
          <w:color w:val="auto"/>
          <w:kern w:val="0"/>
          <w:sz w:val="24"/>
          <w:szCs w:val="24"/>
        </w:rPr>
        <w:t>〔总价合同的计量〕</w:t>
      </w:r>
      <w:r>
        <w:rPr>
          <w:rFonts w:hint="eastAsia" w:asciiTheme="minorEastAsia" w:hAnsiTheme="minorEastAsia" w:eastAsiaTheme="minorEastAsia" w:cstheme="minorEastAsia"/>
          <w:color w:val="auto"/>
          <w:sz w:val="24"/>
          <w:szCs w:val="24"/>
        </w:rPr>
        <w:t>约定进行计量：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12.3.6 其他价格形式合同的计量</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其他价格形式的计量方式和程序：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 工程进度款支付</w:t>
      </w:r>
    </w:p>
    <w:p>
      <w:pPr>
        <w:spacing w:line="360" w:lineRule="auto"/>
        <w:ind w:firstLine="480" w:firstLineChars="200"/>
        <w:jc w:val="left"/>
        <w:rPr>
          <w:rFonts w:hint="eastAsia" w:asciiTheme="minorEastAsia" w:hAnsiTheme="minorEastAsia" w:eastAsiaTheme="minorEastAsia" w:cstheme="minorEastAsia"/>
          <w:color w:val="auto"/>
          <w:sz w:val="24"/>
          <w:szCs w:val="24"/>
        </w:rPr>
      </w:pPr>
      <w:bookmarkStart w:id="468" w:name="_Toc303539163"/>
      <w:bookmarkStart w:id="469" w:name="_Toc296346712"/>
      <w:bookmarkStart w:id="470" w:name="_Toc297048397"/>
      <w:bookmarkStart w:id="471" w:name="_Toc296891251"/>
      <w:bookmarkStart w:id="472" w:name="_Toc296503211"/>
      <w:bookmarkStart w:id="473" w:name="_Toc296944550"/>
      <w:bookmarkStart w:id="474" w:name="_Toc297120511"/>
      <w:bookmarkStart w:id="475" w:name="_Toc292559921"/>
      <w:bookmarkStart w:id="476" w:name="_Toc296347210"/>
      <w:bookmarkStart w:id="477" w:name="_Toc292559416"/>
      <w:bookmarkStart w:id="478" w:name="_Toc296891039"/>
      <w:bookmarkStart w:id="479" w:name="_Toc300935006"/>
      <w:bookmarkStart w:id="480" w:name="_Toc297216215"/>
      <w:bookmarkStart w:id="481" w:name="_Toc297123556"/>
      <w:r>
        <w:rPr>
          <w:rFonts w:hint="eastAsia" w:asciiTheme="minorEastAsia" w:hAnsiTheme="minorEastAsia" w:eastAsiaTheme="minorEastAsia" w:cstheme="minorEastAsia"/>
          <w:color w:val="auto"/>
          <w:sz w:val="24"/>
          <w:szCs w:val="24"/>
        </w:rPr>
        <w:t>12.4.1 付款周期</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关于付款周期的约定：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12.4.2 进度付款申请单的编制</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关于进度付款申请单编制的约定：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hint="eastAsia" w:asciiTheme="minorEastAsia" w:hAnsiTheme="minorEastAsia" w:eastAsiaTheme="minorEastAsia" w:cstheme="minorEastAsia"/>
          <w:color w:val="auto"/>
          <w:sz w:val="24"/>
          <w:szCs w:val="24"/>
        </w:rPr>
        <w:t>2.4.3 进度付款申请单的提交</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（1）单价合同进度付款申请单提交的约定：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（2）总价合同进度付款申请单提交的约定：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（3）其他价格形式合同进度付款申请单提交的约定：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12.4.4 进度款审核和支付</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（1）监理人审查并报送发包人的期限：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发包人完成审批并签发进度款支付证书的期限：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（2）发包人支付进度款的期限：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600" w:firstLineChars="2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发包人逾期支付进度款的违约金的计算方式：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600" w:firstLineChars="2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12.4.6 支付分解表的编制</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2、总价合同支付分解表的编制与审批：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3、单价合同的总价项目支付分解表的编制与审批：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311"/>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482" w:name="_Toc351203645"/>
      <w:bookmarkStart w:id="483" w:name="_Toc304295593"/>
      <w:bookmarkStart w:id="484" w:name="_Toc292559929"/>
      <w:bookmarkStart w:id="485" w:name="_Toc296503219"/>
      <w:bookmarkStart w:id="486" w:name="_Toc297216223"/>
      <w:bookmarkStart w:id="487" w:name="_Toc300935015"/>
      <w:bookmarkStart w:id="488" w:name="_Toc296944558"/>
      <w:bookmarkStart w:id="489" w:name="_Toc303539172"/>
      <w:bookmarkStart w:id="490" w:name="_Toc297123564"/>
      <w:bookmarkStart w:id="491" w:name="_Toc312678053"/>
      <w:bookmarkStart w:id="492" w:name="_Toc297048405"/>
      <w:bookmarkStart w:id="493" w:name="_Toc296891259"/>
      <w:bookmarkStart w:id="494" w:name="_Toc296891047"/>
      <w:bookmarkStart w:id="495" w:name="_Toc292559424"/>
      <w:bookmarkStart w:id="496" w:name="_Toc296347218"/>
      <w:bookmarkStart w:id="497" w:name="_Toc296346720"/>
      <w:bookmarkStart w:id="498" w:name="_Toc297120519"/>
      <w:r>
        <w:rPr>
          <w:rFonts w:hint="eastAsia" w:asciiTheme="minorEastAsia" w:hAnsiTheme="minorEastAsia" w:eastAsiaTheme="minorEastAsia" w:cstheme="minorEastAsia"/>
          <w:b w:val="0"/>
          <w:color w:val="auto"/>
          <w:sz w:val="24"/>
          <w:szCs w:val="24"/>
        </w:rPr>
        <w:t>13. 验收和工程试车</w:t>
      </w:r>
      <w:bookmarkEnd w:id="482"/>
    </w:p>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13.1 分部分项工程验收</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13.1.2监理人不能按时进行验收时应提前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小时提交书面延期要求。</w:t>
      </w:r>
    </w:p>
    <w:p>
      <w:pPr>
        <w:spacing w:line="360" w:lineRule="auto"/>
        <w:ind w:firstLine="480" w:firstLineChars="20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关于延期最长不得超过：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小时。</w:t>
      </w:r>
    </w:p>
    <w:p>
      <w:pPr>
        <w:spacing w:after="120" w:line="360" w:lineRule="auto"/>
        <w:ind w:firstLine="480" w:firstLineChars="200"/>
        <w:rPr>
          <w:rFonts w:hint="eastAsia" w:asciiTheme="minorEastAsia" w:hAnsiTheme="minorEastAsia" w:eastAsiaTheme="minorEastAsia" w:cstheme="minorEastAsia"/>
          <w:color w:val="auto"/>
          <w:sz w:val="24"/>
          <w:szCs w:val="24"/>
        </w:rPr>
      </w:pPr>
      <w:bookmarkStart w:id="499" w:name="_Toc297216224"/>
      <w:bookmarkStart w:id="500" w:name="_Toc303539173"/>
      <w:bookmarkStart w:id="501" w:name="_Toc312678056"/>
      <w:bookmarkStart w:id="502" w:name="_Toc297120523"/>
      <w:bookmarkStart w:id="503" w:name="_Toc297048409"/>
      <w:bookmarkStart w:id="504" w:name="_Toc304295596"/>
      <w:bookmarkStart w:id="505" w:name="_Toc297123565"/>
      <w:bookmarkStart w:id="506" w:name="_Toc296944562"/>
      <w:bookmarkStart w:id="507" w:name="_Toc300935016"/>
      <w:bookmarkStart w:id="508" w:name="_Toc296347222"/>
      <w:bookmarkStart w:id="509" w:name="_Toc296346724"/>
      <w:bookmarkStart w:id="510" w:name="_Toc292559428"/>
      <w:bookmarkStart w:id="511" w:name="_Toc292559933"/>
      <w:bookmarkStart w:id="512" w:name="_Toc296891051"/>
      <w:bookmarkStart w:id="513" w:name="_Toc296891263"/>
      <w:bookmarkStart w:id="514" w:name="_Toc296503223"/>
      <w:bookmarkStart w:id="515" w:name="_Toc267251472"/>
      <w:bookmarkStart w:id="516" w:name="_Toc267251470"/>
      <w:bookmarkStart w:id="517" w:name="_Toc267251476"/>
      <w:bookmarkStart w:id="518" w:name="_Toc267251471"/>
      <w:bookmarkStart w:id="519" w:name="_Toc267251473"/>
      <w:bookmarkStart w:id="520" w:name="_Toc267251474"/>
      <w:bookmarkStart w:id="521" w:name="_Toc267251475"/>
      <w:r>
        <w:rPr>
          <w:rFonts w:hint="eastAsia" w:asciiTheme="minorEastAsia" w:hAnsiTheme="minorEastAsia" w:eastAsiaTheme="minorEastAsia" w:cstheme="minorEastAsia"/>
          <w:color w:val="auto"/>
          <w:sz w:val="24"/>
          <w:szCs w:val="24"/>
        </w:rPr>
        <w:t>13.2 竣工验收</w:t>
      </w:r>
    </w:p>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Pr>
        <w:spacing w:line="360" w:lineRule="auto"/>
        <w:ind w:firstLine="480" w:firstLineChars="200"/>
        <w:jc w:val="left"/>
        <w:rPr>
          <w:rFonts w:hint="eastAsia" w:asciiTheme="minorEastAsia" w:hAnsiTheme="minorEastAsia" w:eastAsiaTheme="minorEastAsia" w:cstheme="minorEastAsia"/>
          <w:color w:val="auto"/>
          <w:sz w:val="24"/>
          <w:szCs w:val="24"/>
        </w:rPr>
      </w:pPr>
      <w:bookmarkStart w:id="522" w:name="_Toc280868704"/>
      <w:bookmarkStart w:id="523" w:name="_Toc280868705"/>
      <w:bookmarkStart w:id="524" w:name="_Toc280868706"/>
      <w:bookmarkStart w:id="525" w:name="_Toc280868707"/>
      <w:bookmarkStart w:id="526" w:name="_Toc280868708"/>
      <w:bookmarkStart w:id="527" w:name="_Toc280868709"/>
      <w:r>
        <w:rPr>
          <w:rFonts w:hint="eastAsia" w:asciiTheme="minorEastAsia" w:hAnsiTheme="minorEastAsia" w:eastAsiaTheme="minorEastAsia" w:cstheme="minorEastAsia"/>
          <w:color w:val="auto"/>
          <w:sz w:val="24"/>
          <w:szCs w:val="24"/>
        </w:rPr>
        <w:t>13.2.2竣工验收程序</w:t>
      </w:r>
    </w:p>
    <w:bookmarkEnd w:id="522"/>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关于竣工验收程序的约定：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发包人不按照本项约定组织竣工验收、颁发工程接收证书的违约金的计算方法：</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523"/>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13.2.5移交、接收全部与部分工程</w:t>
      </w:r>
    </w:p>
    <w:bookmarkEnd w:id="524"/>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承包人向发包人移交工程的期限：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kern w:val="0"/>
          <w:sz w:val="24"/>
          <w:szCs w:val="24"/>
        </w:rPr>
        <w:t>发包人未按本合同约定接收全部或部分工程的，违约金的计算方法为：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525"/>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承包人未按时移交工程的，违约金的计算方法为：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13.3 工程试车</w:t>
      </w:r>
    </w:p>
    <w:bookmarkEnd w:id="526"/>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13.3.1 试车程序</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工程试车内容：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（1）单机无负荷试车费用由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承担；</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（2）无负荷联动试车费用由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承担。</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13.3.3 投料试车</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关于投料试车相关事项的约定：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13.6 竣工退场</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13.6.1 竣工退场</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承包人完成竣工退场的期限：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28" w:name="_Toc351203646"/>
      <w:r>
        <w:rPr>
          <w:rFonts w:hint="eastAsia" w:asciiTheme="minorEastAsia" w:hAnsiTheme="minorEastAsia" w:eastAsiaTheme="minorEastAsia" w:cstheme="minorEastAsia"/>
          <w:b w:val="0"/>
          <w:color w:val="auto"/>
          <w:sz w:val="24"/>
          <w:szCs w:val="24"/>
        </w:rPr>
        <w:t>14. 竣工结算</w:t>
      </w:r>
      <w:bookmarkEnd w:id="528"/>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14.1 竣工结算申请</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承包人提交竣工结算申请单的期限：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竣工结算申请单应包括的内容：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 竣工结算审核</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发包人审批竣工付款申请单的期限：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发包人完成竣工付款的期限：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关于竣工付款证书异议部分复核的方式和程序：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14.4 最终结清</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14.4.1 最终结清申请单</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承包人提交最终结清申请单的份数：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承包人提交最终结算申请单的期限：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14.4.2 最终结清证书和支付</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（1）发包人完成最终结清申请单的审批并颁发最终结清证书的期限：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（2）发包人完成支付的期限：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515"/>
    <w:bookmarkEnd w:id="516"/>
    <w:bookmarkEnd w:id="517"/>
    <w:bookmarkEnd w:id="518"/>
    <w:bookmarkEnd w:id="519"/>
    <w:bookmarkEnd w:id="520"/>
    <w:bookmarkEnd w:id="521"/>
    <w:bookmarkEnd w:id="527"/>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29" w:name="_Toc351203647"/>
      <w:bookmarkStart w:id="530" w:name="_Toc267251483"/>
      <w:bookmarkStart w:id="531" w:name="_Toc267251484"/>
      <w:bookmarkStart w:id="532" w:name="_Toc267251482"/>
      <w:bookmarkStart w:id="533" w:name="_Toc267251485"/>
      <w:bookmarkStart w:id="534" w:name="_Toc267251488"/>
      <w:bookmarkStart w:id="535" w:name="_Toc267251486"/>
      <w:bookmarkStart w:id="536" w:name="_Toc267251490"/>
      <w:bookmarkStart w:id="537" w:name="_Toc267251489"/>
      <w:bookmarkStart w:id="538" w:name="_Toc267251492"/>
      <w:bookmarkStart w:id="539" w:name="_Toc267251497"/>
      <w:bookmarkStart w:id="540" w:name="_Toc267251501"/>
      <w:bookmarkStart w:id="541" w:name="_Toc267251493"/>
      <w:bookmarkStart w:id="542" w:name="_Toc267251491"/>
      <w:bookmarkStart w:id="543" w:name="_Toc267251498"/>
      <w:bookmarkStart w:id="544" w:name="_Toc267251496"/>
      <w:bookmarkStart w:id="545" w:name="_Toc267251502"/>
      <w:bookmarkStart w:id="546" w:name="_Toc267251503"/>
      <w:bookmarkStart w:id="547" w:name="_Toc267251495"/>
      <w:bookmarkStart w:id="548" w:name="_Toc267251499"/>
      <w:bookmarkStart w:id="549" w:name="_Toc267251494"/>
      <w:bookmarkStart w:id="550" w:name="_Toc267251504"/>
      <w:bookmarkStart w:id="551" w:name="_Toc267251506"/>
      <w:bookmarkStart w:id="552" w:name="_Toc267251507"/>
      <w:bookmarkStart w:id="553" w:name="_Toc267251508"/>
      <w:bookmarkStart w:id="554" w:name="_Toc267251511"/>
      <w:bookmarkStart w:id="555" w:name="_Toc267251514"/>
      <w:bookmarkStart w:id="556" w:name="_Toc267251513"/>
      <w:bookmarkStart w:id="557" w:name="_Toc267251515"/>
      <w:bookmarkStart w:id="558" w:name="_Toc267251509"/>
      <w:bookmarkStart w:id="559" w:name="_Toc267251510"/>
      <w:r>
        <w:rPr>
          <w:rFonts w:hint="eastAsia" w:asciiTheme="minorEastAsia" w:hAnsiTheme="minorEastAsia" w:eastAsiaTheme="minorEastAsia" w:cstheme="minorEastAsia"/>
          <w:b w:val="0"/>
          <w:color w:val="auto"/>
          <w:sz w:val="24"/>
          <w:szCs w:val="24"/>
        </w:rPr>
        <w:t>15. 缺陷责任期与保修</w:t>
      </w:r>
      <w:bookmarkEnd w:id="529"/>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15.2缺陷责任期</w:t>
      </w:r>
      <w:bookmarkEnd w:id="530"/>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缺陷责任期的具体期限：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15.3 质量保证金</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关于是否扣留质量保证金的约定：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。在工程项目竣工前，承包人按专用合同条款第3.7条提供履约担保的，发包人不得同时预留工程质量保证金。</w:t>
      </w:r>
    </w:p>
    <w:p>
      <w:pPr>
        <w:spacing w:line="360" w:lineRule="auto"/>
        <w:ind w:firstLine="480" w:firstLineChars="200"/>
        <w:jc w:val="left"/>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15.3.1 承包人提供质量保证金的方式</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质量保证金采用以下第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（1）质量保证金保函，保证金额为：</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（3）其他方式:</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15.3.2 质量保证金的扣留 </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质量保证金的扣留采取以下第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（2）工程竣工结算时一次性扣留质量保证金；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（3）其他扣留方式:</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关于质量保证金的补充约定：</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bookmarkEnd w:id="531"/>
    <w:bookmarkEnd w:id="532"/>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15.4保修</w:t>
      </w:r>
    </w:p>
    <w:bookmarkEnd w:id="533"/>
    <w:p>
      <w:pPr>
        <w:spacing w:line="360" w:lineRule="auto"/>
        <w:ind w:firstLine="468" w:firstLineChars="19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15.4.1 保修责任</w:t>
      </w:r>
    </w:p>
    <w:p>
      <w:pPr>
        <w:spacing w:line="360" w:lineRule="auto"/>
        <w:ind w:firstLine="468" w:firstLineChars="195"/>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工程保修期为：</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68" w:firstLineChars="19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15.4.3 修复通知</w:t>
      </w:r>
    </w:p>
    <w:p>
      <w:pPr>
        <w:spacing w:line="360" w:lineRule="auto"/>
        <w:ind w:firstLine="468" w:firstLineChars="195"/>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承包人收到保修通知并到达工程现场的合理时间：</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bookmarkEnd w:id="534"/>
    <w:bookmarkEnd w:id="535"/>
    <w:bookmarkEnd w:id="536"/>
    <w:bookmarkEnd w:id="537"/>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60" w:name="_Toc351203648"/>
      <w:bookmarkStart w:id="561" w:name="_Toc280868717"/>
      <w:bookmarkStart w:id="562" w:name="_Toc280868718"/>
      <w:r>
        <w:rPr>
          <w:rFonts w:hint="eastAsia" w:asciiTheme="minorEastAsia" w:hAnsiTheme="minorEastAsia" w:eastAsiaTheme="minorEastAsia" w:cstheme="minorEastAsia"/>
          <w:b w:val="0"/>
          <w:color w:val="auto"/>
          <w:sz w:val="24"/>
          <w:szCs w:val="24"/>
        </w:rPr>
        <w:t>16. 违约</w:t>
      </w:r>
      <w:bookmarkEnd w:id="560"/>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 发包人违约</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16.1.1发包人违约的情形</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发包人违约的其他情形：</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left="1500" w:hanging="1200" w:hangingChars="5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16.1.2 发包人违约的责任</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发包人违约责任的承担方式和计算方法：</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u w:val="single"/>
        </w:rPr>
      </w:pPr>
      <w:r>
        <w:rPr>
          <w:rFonts w:hint="eastAsia" w:asciiTheme="minorEastAsia" w:hAnsiTheme="minorEastAsia" w:eastAsiaTheme="minorEastAsia" w:cstheme="minorEastAsia"/>
          <w:color w:val="auto"/>
          <w:kern w:val="0"/>
          <w:sz w:val="24"/>
          <w:szCs w:val="24"/>
        </w:rPr>
        <w:t>（1）因发包人原因未能在计划开工日期前7天内下达开工通知的违约责任：</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（2）因发包人原因未能按合同约定支付合同价款的违约责任：</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（5）因发包人违反合同约定造成暂停施工的违约责任：</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（7）其他：</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承包人按16.1.1项〔发包人违约的情形〕约定暂停施工满</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天后发包人仍不纠正其违约行为并致使合同目的不能实现的，承包人有权解除合同。</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16.2 承包人违约</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16.2.1 承包人违约的情形</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承包人违约的其他情形：</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16.2.2承包人违约的责任</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u w:val="single"/>
        </w:rPr>
      </w:pPr>
      <w:r>
        <w:rPr>
          <w:rFonts w:hint="eastAsia" w:asciiTheme="minorEastAsia" w:hAnsiTheme="minorEastAsia" w:eastAsiaTheme="minorEastAsia" w:cstheme="minorEastAsia"/>
          <w:color w:val="auto"/>
          <w:kern w:val="0"/>
          <w:sz w:val="24"/>
          <w:szCs w:val="24"/>
        </w:rPr>
        <w:t>承包人违约责任的承担方式和计算方法：</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16.2.3 因承包人违约解除合同</w:t>
      </w:r>
    </w:p>
    <w:p>
      <w:pPr>
        <w:spacing w:before="120" w:after="120"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关于承包人违约解除合同的特别约定：</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before="120" w:after="120"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63" w:name="_Toc351203649"/>
      <w:r>
        <w:rPr>
          <w:rFonts w:hint="eastAsia" w:asciiTheme="minorEastAsia" w:hAnsiTheme="minorEastAsia" w:eastAsiaTheme="minorEastAsia" w:cstheme="minorEastAsia"/>
          <w:b w:val="0"/>
          <w:color w:val="auto"/>
          <w:sz w:val="24"/>
          <w:szCs w:val="24"/>
        </w:rPr>
        <w:t>17. 不可抗力</w:t>
      </w:r>
      <w:bookmarkEnd w:id="563"/>
      <w:r>
        <w:rPr>
          <w:rFonts w:hint="eastAsia" w:asciiTheme="minorEastAsia" w:hAnsiTheme="minorEastAsia" w:eastAsiaTheme="minorEastAsia" w:cstheme="minorEastAsia"/>
          <w:b w:val="0"/>
          <w:color w:val="auto"/>
          <w:sz w:val="24"/>
          <w:szCs w:val="24"/>
        </w:rPr>
        <w:t xml:space="preserve"> </w:t>
      </w:r>
      <w:bookmarkEnd w:id="561"/>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17.1 不可抗力的确认</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u w:val="single"/>
        </w:rPr>
      </w:pPr>
      <w:r>
        <w:rPr>
          <w:rFonts w:hint="eastAsia" w:asciiTheme="minorEastAsia" w:hAnsiTheme="minorEastAsia" w:eastAsiaTheme="minorEastAsia" w:cstheme="minorEastAsia"/>
          <w:color w:val="auto"/>
          <w:sz w:val="24"/>
          <w:szCs w:val="24"/>
        </w:rPr>
        <w:t>除通用合同条款约定的不可抗力事件之外，视为不可抗力的其他情形：</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17.4 因不可抗力解除合同</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合同解除后，发包人应在商定或确定发包人应支付款项后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天内完成款项的支付。</w:t>
      </w:r>
    </w:p>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64" w:name="_Toc351203650"/>
      <w:r>
        <w:rPr>
          <w:rFonts w:hint="eastAsia" w:asciiTheme="minorEastAsia" w:hAnsiTheme="minorEastAsia" w:eastAsiaTheme="minorEastAsia" w:cstheme="minorEastAsia"/>
          <w:b w:val="0"/>
          <w:color w:val="auto"/>
          <w:sz w:val="24"/>
          <w:szCs w:val="24"/>
        </w:rPr>
        <w:t>18. 保险</w:t>
      </w:r>
      <w:bookmarkEnd w:id="564"/>
    </w:p>
    <w:bookmarkEnd w:id="562"/>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18.1 工程保险</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关于工程保险的特别约定：</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18.3 其他保险</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关于其他保险的约定：</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承包人是否应为其施工设备等办理财产保险：</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18.7 通知义务</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关于变更保险合同时的通知义务的约定：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bookmarkEnd w:id="538"/>
    <w:bookmarkEnd w:id="539"/>
    <w:bookmarkEnd w:id="540"/>
    <w:bookmarkEnd w:id="541"/>
    <w:bookmarkEnd w:id="542"/>
    <w:bookmarkEnd w:id="543"/>
    <w:bookmarkEnd w:id="544"/>
    <w:bookmarkEnd w:id="545"/>
    <w:bookmarkEnd w:id="546"/>
    <w:bookmarkEnd w:id="547"/>
    <w:bookmarkEnd w:id="548"/>
    <w:bookmarkEnd w:id="549"/>
    <w:p>
      <w:pPr>
        <w:pStyle w:val="5"/>
        <w:spacing w:before="120" w:after="120" w:line="360" w:lineRule="auto"/>
        <w:rPr>
          <w:rFonts w:hint="eastAsia" w:asciiTheme="minorEastAsia" w:hAnsiTheme="minorEastAsia" w:eastAsiaTheme="minorEastAsia" w:cstheme="minorEastAsia"/>
          <w:b w:val="0"/>
          <w:color w:val="auto"/>
          <w:sz w:val="24"/>
          <w:szCs w:val="24"/>
        </w:rPr>
      </w:pPr>
      <w:bookmarkStart w:id="565" w:name="_Toc351203651"/>
      <w:r>
        <w:rPr>
          <w:rFonts w:hint="eastAsia" w:asciiTheme="minorEastAsia" w:hAnsiTheme="minorEastAsia" w:eastAsiaTheme="minorEastAsia" w:cstheme="minorEastAsia"/>
          <w:b w:val="0"/>
          <w:color w:val="auto"/>
          <w:sz w:val="24"/>
          <w:szCs w:val="24"/>
        </w:rPr>
        <w:t>20. 争议解决</w:t>
      </w:r>
      <w:bookmarkEnd w:id="565"/>
    </w:p>
    <w:bookmarkEnd w:id="550"/>
    <w:bookmarkEnd w:id="551"/>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20.3 争</w:t>
      </w:r>
      <w:bookmarkEnd w:id="552"/>
      <w:r>
        <w:rPr>
          <w:rFonts w:hint="eastAsia" w:asciiTheme="minorEastAsia" w:hAnsiTheme="minorEastAsia" w:eastAsiaTheme="minorEastAsia" w:cstheme="minorEastAsia"/>
          <w:color w:val="auto"/>
          <w:sz w:val="24"/>
          <w:szCs w:val="24"/>
        </w:rPr>
        <w:t>议评审</w:t>
      </w:r>
    </w:p>
    <w:p>
      <w:pPr>
        <w:spacing w:line="360" w:lineRule="auto"/>
        <w:ind w:left="149" w:leftChars="71" w:firstLine="360" w:firstLineChars="1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合同当事人是否同意将工程争议提交争议评审小组决定：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jc w:val="left"/>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20.3.1 争议评审小组的确定</w:t>
      </w:r>
    </w:p>
    <w:p>
      <w:pPr>
        <w:spacing w:line="360" w:lineRule="auto"/>
        <w:ind w:firstLine="480" w:firstLineChars="200"/>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争议评审小组成员的确定：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选定争议评审员的期限：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争议评审小组成员的报酬承担方式：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其他事项的约定：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20.3.2 争议评审小组的决定</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合同当事人关于本项的约定：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20.4仲裁或诉讼</w:t>
      </w:r>
      <w:bookmarkEnd w:id="553"/>
    </w:p>
    <w:p>
      <w:pPr>
        <w:spacing w:after="12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因合同及合同有关事项发生的争议，按下列第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种方式解决：</w:t>
      </w:r>
    </w:p>
    <w:p>
      <w:pPr>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仲裁委员会申请仲裁；</w:t>
      </w:r>
    </w:p>
    <w:p>
      <w:pPr>
        <w:shd w:val="clear" w:color="auto" w:fill="auto"/>
        <w:adjustRightInd w:val="0"/>
        <w:spacing w:line="440" w:lineRule="exact"/>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人民法院起诉。</w:t>
      </w:r>
      <w:bookmarkEnd w:id="554"/>
      <w:bookmarkEnd w:id="555"/>
      <w:bookmarkEnd w:id="556"/>
      <w:bookmarkEnd w:id="557"/>
      <w:bookmarkEnd w:id="558"/>
      <w:bookmarkEnd w:id="559"/>
    </w:p>
    <w:p>
      <w:pPr>
        <w:shd w:val="clear" w:color="auto" w:fill="auto"/>
        <w:adjustRightInd w:val="0"/>
        <w:spacing w:line="440" w:lineRule="exact"/>
        <w:ind w:firstLine="480" w:firstLineChars="200"/>
        <w:rPr>
          <w:rFonts w:hint="eastAsia" w:ascii="宋体" w:hAnsi="宋体"/>
          <w:color w:val="auto"/>
          <w:kern w:val="0"/>
          <w:sz w:val="24"/>
        </w:rPr>
      </w:pPr>
      <w:r>
        <w:rPr>
          <w:rFonts w:ascii="宋体" w:hAnsi="宋体"/>
          <w:color w:val="auto"/>
          <w:kern w:val="0"/>
          <w:sz w:val="24"/>
        </w:rPr>
        <w:br w:type="page"/>
      </w:r>
    </w:p>
    <w:p>
      <w:pPr>
        <w:pStyle w:val="4"/>
        <w:numPr>
          <w:ilvl w:val="2"/>
          <w:numId w:val="0"/>
        </w:numPr>
        <w:shd w:val="clear" w:color="auto" w:fill="auto"/>
        <w:spacing w:before="120" w:line="276" w:lineRule="auto"/>
        <w:ind w:leftChars="0"/>
        <w:jc w:val="center"/>
        <w:rPr>
          <w:rFonts w:hint="eastAsia"/>
          <w:color w:val="auto"/>
          <w:sz w:val="30"/>
          <w:szCs w:val="30"/>
        </w:rPr>
      </w:pPr>
      <w:r>
        <w:rPr>
          <w:rFonts w:hint="eastAsia"/>
          <w:color w:val="auto"/>
          <w:sz w:val="30"/>
          <w:szCs w:val="30"/>
        </w:rPr>
        <w:t>第四部分  附件</w:t>
      </w:r>
    </w:p>
    <w:p>
      <w:pPr>
        <w:shd w:val="clear" w:color="auto" w:fill="auto"/>
        <w:spacing w:line="360" w:lineRule="auto"/>
        <w:rPr>
          <w:rFonts w:ascii="宋体" w:hAnsi="宋体"/>
          <w:color w:val="auto"/>
          <w:sz w:val="24"/>
        </w:rPr>
      </w:pPr>
      <w:r>
        <w:rPr>
          <w:rFonts w:hint="eastAsia" w:ascii="宋体" w:hAnsi="宋体"/>
          <w:color w:val="auto"/>
          <w:sz w:val="24"/>
        </w:rPr>
        <w:t>专用合同条款附件：</w:t>
      </w:r>
    </w:p>
    <w:p>
      <w:pPr>
        <w:shd w:val="clear" w:color="auto" w:fill="auto"/>
        <w:spacing w:line="360" w:lineRule="auto"/>
        <w:rPr>
          <w:rFonts w:ascii="宋体" w:hAnsi="宋体"/>
          <w:color w:val="auto"/>
          <w:sz w:val="24"/>
        </w:rPr>
      </w:pPr>
      <w:r>
        <w:rPr>
          <w:rFonts w:ascii="宋体" w:hAnsi="宋体"/>
          <w:color w:val="auto"/>
          <w:sz w:val="24"/>
        </w:rPr>
        <w:t>附件</w:t>
      </w:r>
      <w:r>
        <w:rPr>
          <w:rFonts w:hint="eastAsia" w:ascii="宋体" w:hAnsi="宋体"/>
          <w:color w:val="auto"/>
          <w:sz w:val="24"/>
        </w:rPr>
        <w:t>1</w:t>
      </w:r>
      <w:r>
        <w:rPr>
          <w:rFonts w:ascii="宋体" w:hAnsi="宋体"/>
          <w:color w:val="auto"/>
          <w:sz w:val="24"/>
        </w:rPr>
        <w:t>：工程质量保修书</w:t>
      </w:r>
    </w:p>
    <w:p>
      <w:pPr>
        <w:shd w:val="clear" w:color="auto" w:fill="auto"/>
        <w:spacing w:before="120" w:beforeLines="50" w:after="120" w:afterLines="50" w:line="276" w:lineRule="auto"/>
        <w:jc w:val="left"/>
        <w:rPr>
          <w:rFonts w:ascii="宋体" w:hAnsi="宋体"/>
          <w:b/>
          <w:bCs/>
          <w:color w:val="auto"/>
          <w:sz w:val="30"/>
          <w:szCs w:val="30"/>
        </w:rPr>
      </w:pPr>
      <w:r>
        <w:rPr>
          <w:rFonts w:ascii="宋体" w:hAnsi="宋体"/>
          <w:b/>
          <w:bCs/>
          <w:color w:val="auto"/>
          <w:sz w:val="24"/>
        </w:rPr>
        <w:t>附件</w:t>
      </w:r>
      <w:r>
        <w:rPr>
          <w:rFonts w:hint="eastAsia" w:ascii="宋体" w:hAnsi="宋体"/>
          <w:b/>
          <w:bCs/>
          <w:color w:val="auto"/>
          <w:sz w:val="24"/>
        </w:rPr>
        <w:t>1</w:t>
      </w:r>
    </w:p>
    <w:p>
      <w:pPr>
        <w:shd w:val="clear" w:color="auto" w:fill="auto"/>
        <w:spacing w:before="120" w:beforeLines="50" w:after="120" w:afterLines="50" w:line="276" w:lineRule="auto"/>
        <w:jc w:val="center"/>
        <w:rPr>
          <w:rFonts w:ascii="宋体" w:hAnsi="宋体"/>
          <w:b/>
          <w:color w:val="auto"/>
          <w:sz w:val="30"/>
          <w:szCs w:val="30"/>
        </w:rPr>
      </w:pPr>
    </w:p>
    <w:p>
      <w:pPr>
        <w:shd w:val="clear" w:color="auto" w:fill="auto"/>
        <w:spacing w:before="120" w:beforeLines="50" w:after="120" w:afterLines="50" w:line="276" w:lineRule="auto"/>
        <w:jc w:val="center"/>
        <w:rPr>
          <w:rFonts w:ascii="宋体" w:hAnsi="宋体"/>
          <w:b/>
          <w:color w:val="auto"/>
          <w:sz w:val="30"/>
          <w:szCs w:val="30"/>
        </w:rPr>
      </w:pPr>
      <w:r>
        <w:rPr>
          <w:rFonts w:ascii="宋体" w:hAnsi="宋体"/>
          <w:b/>
          <w:color w:val="auto"/>
          <w:sz w:val="30"/>
          <w:szCs w:val="30"/>
        </w:rPr>
        <w:t>工程质量保修书</w:t>
      </w:r>
    </w:p>
    <w:p>
      <w:pPr>
        <w:shd w:val="clear" w:color="auto" w:fill="auto"/>
        <w:spacing w:before="120" w:beforeLines="50" w:after="120" w:afterLines="50" w:line="276" w:lineRule="auto"/>
        <w:jc w:val="center"/>
        <w:rPr>
          <w:rFonts w:ascii="宋体" w:hAnsi="宋体"/>
          <w:b/>
          <w:color w:val="auto"/>
          <w:szCs w:val="21"/>
        </w:rPr>
      </w:pPr>
    </w:p>
    <w:p>
      <w:pPr>
        <w:shd w:val="clear" w:color="auto" w:fill="auto"/>
        <w:spacing w:line="360" w:lineRule="auto"/>
        <w:rPr>
          <w:rFonts w:hint="eastAsia" w:ascii="宋体" w:hAnsi="宋体"/>
          <w:color w:val="auto"/>
          <w:szCs w:val="21"/>
          <w:u w:val="single"/>
        </w:rPr>
      </w:pPr>
      <w:r>
        <w:rPr>
          <w:rFonts w:hint="eastAsia" w:ascii="宋体" w:hAnsi="宋体"/>
          <w:color w:val="auto"/>
          <w:szCs w:val="21"/>
        </w:rPr>
        <w:t xml:space="preserve">    </w:t>
      </w:r>
      <w:r>
        <w:rPr>
          <w:rFonts w:ascii="宋体" w:hAnsi="宋体"/>
          <w:color w:val="auto"/>
          <w:szCs w:val="21"/>
        </w:rPr>
        <w:t>发包人（全称）：</w:t>
      </w:r>
    </w:p>
    <w:p>
      <w:pPr>
        <w:shd w:val="clear" w:color="auto" w:fill="auto"/>
        <w:spacing w:line="360" w:lineRule="auto"/>
        <w:ind w:firstLine="420" w:firstLineChars="200"/>
        <w:rPr>
          <w:color w:val="auto"/>
          <w:szCs w:val="21"/>
          <w:u w:val="single"/>
        </w:rPr>
      </w:pPr>
      <w:r>
        <w:rPr>
          <w:rFonts w:ascii="宋体" w:hAnsi="宋体"/>
          <w:color w:val="auto"/>
          <w:szCs w:val="21"/>
        </w:rPr>
        <w:t>承包人（全称）：</w:t>
      </w:r>
    </w:p>
    <w:p>
      <w:pPr>
        <w:pStyle w:val="25"/>
        <w:shd w:val="clear" w:color="auto" w:fill="auto"/>
        <w:spacing w:line="360" w:lineRule="auto"/>
        <w:ind w:firstLine="420" w:firstLineChars="200"/>
        <w:rPr>
          <w:rFonts w:hint="eastAsia"/>
          <w:color w:val="auto"/>
          <w:sz w:val="21"/>
          <w:szCs w:val="21"/>
        </w:rPr>
      </w:pPr>
      <w:r>
        <w:rPr>
          <w:color w:val="auto"/>
          <w:sz w:val="21"/>
          <w:szCs w:val="21"/>
        </w:rPr>
        <w:t>发包人和承包人根据《中华人民共和国建筑法》和《建设工程质量管理条例》，经协商一致就</w:t>
      </w:r>
      <w:r>
        <w:rPr>
          <w:rFonts w:hint="eastAsia"/>
          <w:color w:val="auto"/>
          <w:sz w:val="21"/>
          <w:szCs w:val="21"/>
          <w:u w:val="single"/>
          <w:lang w:val="en-US" w:eastAsia="zh-CN"/>
        </w:rPr>
        <w:t xml:space="preserve">            </w:t>
      </w:r>
      <w:r>
        <w:rPr>
          <w:rFonts w:hint="eastAsia"/>
          <w:color w:val="auto"/>
          <w:sz w:val="21"/>
          <w:szCs w:val="21"/>
          <w:u w:val="single"/>
        </w:rPr>
        <w:t>项目</w:t>
      </w:r>
      <w:r>
        <w:rPr>
          <w:color w:val="auto"/>
          <w:sz w:val="21"/>
          <w:szCs w:val="21"/>
        </w:rPr>
        <w:t>签订工程质量保修书。</w:t>
      </w:r>
    </w:p>
    <w:p>
      <w:pPr>
        <w:shd w:val="clear" w:color="auto" w:fill="auto"/>
        <w:spacing w:line="360" w:lineRule="auto"/>
        <w:ind w:firstLine="413" w:firstLineChars="196"/>
        <w:rPr>
          <w:rFonts w:ascii="宋体" w:hAnsi="宋体"/>
          <w:b/>
          <w:color w:val="auto"/>
          <w:szCs w:val="21"/>
        </w:rPr>
      </w:pPr>
      <w:r>
        <w:rPr>
          <w:rFonts w:ascii="宋体" w:hAnsi="宋体"/>
          <w:b/>
          <w:color w:val="auto"/>
          <w:szCs w:val="21"/>
        </w:rPr>
        <w:t>一、工程质量保修范围和内容</w:t>
      </w:r>
    </w:p>
    <w:p>
      <w:pPr>
        <w:shd w:val="clear" w:color="auto" w:fill="auto"/>
        <w:spacing w:line="360" w:lineRule="auto"/>
        <w:ind w:firstLine="420" w:firstLineChars="200"/>
        <w:rPr>
          <w:rFonts w:ascii="宋体" w:hAnsi="宋体"/>
          <w:color w:val="auto"/>
          <w:szCs w:val="21"/>
        </w:rPr>
      </w:pPr>
      <w:r>
        <w:rPr>
          <w:rFonts w:ascii="宋体" w:hAnsi="宋体"/>
          <w:color w:val="auto"/>
          <w:szCs w:val="21"/>
        </w:rPr>
        <w:t>承包人在质量保修期内，按照有关法律规定和合同约定，承担工程质量保修责任。</w:t>
      </w:r>
    </w:p>
    <w:p>
      <w:pPr>
        <w:pStyle w:val="25"/>
        <w:shd w:val="clear" w:color="auto" w:fill="auto"/>
        <w:spacing w:line="360" w:lineRule="auto"/>
        <w:ind w:firstLine="420" w:firstLineChars="200"/>
        <w:rPr>
          <w:rFonts w:hint="eastAsia" w:ascii="Calibri" w:hAnsi="Calibri"/>
          <w:color w:val="auto"/>
          <w:sz w:val="21"/>
          <w:szCs w:val="21"/>
          <w:u w:val="single"/>
        </w:rPr>
      </w:pPr>
      <w:r>
        <w:rPr>
          <w:color w:val="auto"/>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color w:val="auto"/>
          <w:sz w:val="21"/>
          <w:szCs w:val="21"/>
        </w:rPr>
        <w:t>：</w:t>
      </w:r>
      <w:r>
        <w:rPr>
          <w:rFonts w:hint="eastAsia"/>
          <w:color w:val="auto"/>
          <w:sz w:val="21"/>
          <w:szCs w:val="21"/>
          <w:u w:val="single"/>
          <w:lang w:val="en-US" w:eastAsia="zh-CN"/>
        </w:rPr>
        <w:t xml:space="preserve">                 </w:t>
      </w:r>
      <w:r>
        <w:rPr>
          <w:rFonts w:hint="eastAsia"/>
          <w:color w:val="auto"/>
          <w:sz w:val="21"/>
          <w:szCs w:val="21"/>
        </w:rPr>
        <w:t>。</w:t>
      </w:r>
    </w:p>
    <w:p>
      <w:pPr>
        <w:pStyle w:val="25"/>
        <w:shd w:val="clear" w:color="auto" w:fill="auto"/>
        <w:spacing w:line="360" w:lineRule="auto"/>
        <w:ind w:firstLine="482" w:firstLineChars="200"/>
        <w:rPr>
          <w:b/>
          <w:color w:val="auto"/>
        </w:rPr>
      </w:pPr>
      <w:r>
        <w:rPr>
          <w:b/>
          <w:color w:val="auto"/>
        </w:rPr>
        <w:t>二、质量保修期</w:t>
      </w:r>
    </w:p>
    <w:p>
      <w:pPr>
        <w:shd w:val="clear" w:color="auto" w:fill="auto"/>
        <w:spacing w:line="360" w:lineRule="auto"/>
        <w:ind w:firstLine="420" w:firstLineChars="200"/>
        <w:rPr>
          <w:rFonts w:hint="eastAsia" w:ascii="宋体" w:hAnsi="宋体"/>
          <w:color w:val="auto"/>
          <w:szCs w:val="21"/>
        </w:rPr>
      </w:pPr>
      <w:r>
        <w:rPr>
          <w:rFonts w:ascii="宋体" w:hAnsi="宋体"/>
          <w:color w:val="auto"/>
          <w:szCs w:val="21"/>
        </w:rPr>
        <w:t>根据《建设工程质量管理条例》及有关规定，工程的质量保修期如下：</w:t>
      </w:r>
    </w:p>
    <w:p>
      <w:pPr>
        <w:shd w:val="clear" w:color="auto" w:fill="auto"/>
        <w:spacing w:line="360" w:lineRule="auto"/>
        <w:ind w:firstLine="420" w:firstLineChars="200"/>
        <w:rPr>
          <w:rFonts w:hint="eastAsia" w:ascii="宋体" w:hAnsi="宋体"/>
          <w:color w:val="auto"/>
          <w:szCs w:val="21"/>
        </w:rPr>
      </w:pPr>
      <w:r>
        <w:rPr>
          <w:rFonts w:hint="eastAsia" w:ascii="宋体" w:hAnsi="宋体"/>
          <w:color w:val="auto"/>
          <w:szCs w:val="21"/>
        </w:rPr>
        <w:t>1、本项目保修期限约定如下：</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rPr>
        <w:t>年</w:t>
      </w:r>
      <w:r>
        <w:rPr>
          <w:rFonts w:hint="eastAsia" w:ascii="宋体" w:hAnsi="宋体"/>
          <w:color w:val="auto"/>
          <w:szCs w:val="21"/>
        </w:rPr>
        <w:t>。</w:t>
      </w:r>
    </w:p>
    <w:p>
      <w:pPr>
        <w:shd w:val="clear" w:color="auto" w:fill="auto"/>
        <w:spacing w:line="360" w:lineRule="auto"/>
        <w:rPr>
          <w:rFonts w:hint="eastAsia" w:ascii="宋体" w:hAnsi="宋体"/>
          <w:b/>
          <w:color w:val="auto"/>
          <w:szCs w:val="21"/>
        </w:rPr>
      </w:pPr>
      <w:r>
        <w:rPr>
          <w:rFonts w:ascii="宋体" w:hAnsi="宋体"/>
          <w:color w:val="auto"/>
          <w:szCs w:val="21"/>
        </w:rPr>
        <w:t>　　</w:t>
      </w:r>
      <w:r>
        <w:rPr>
          <w:rFonts w:hint="eastAsia" w:ascii="宋体" w:hAnsi="宋体"/>
          <w:color w:val="auto"/>
          <w:szCs w:val="21"/>
        </w:rPr>
        <w:t>保修期（缺陷责任期）从完工验收合格之日起计算。</w:t>
      </w:r>
    </w:p>
    <w:p>
      <w:pPr>
        <w:shd w:val="clear" w:color="auto" w:fill="auto"/>
        <w:spacing w:line="360" w:lineRule="auto"/>
        <w:ind w:firstLine="413" w:firstLineChars="196"/>
        <w:rPr>
          <w:rFonts w:hint="eastAsia" w:ascii="宋体" w:hAnsi="宋体"/>
          <w:b/>
          <w:color w:val="auto"/>
          <w:szCs w:val="21"/>
        </w:rPr>
      </w:pPr>
      <w:r>
        <w:rPr>
          <w:rFonts w:hint="eastAsia" w:ascii="宋体" w:hAnsi="宋体"/>
          <w:b/>
          <w:color w:val="auto"/>
          <w:szCs w:val="21"/>
        </w:rPr>
        <w:t>三、缺陷责任期</w:t>
      </w:r>
    </w:p>
    <w:p>
      <w:pPr>
        <w:shd w:val="clear" w:color="auto" w:fill="auto"/>
        <w:spacing w:line="360" w:lineRule="auto"/>
        <w:ind w:firstLine="411" w:firstLineChars="196"/>
        <w:rPr>
          <w:rFonts w:ascii="宋体" w:hAnsi="宋体"/>
          <w:color w:val="auto"/>
          <w:szCs w:val="21"/>
        </w:rPr>
      </w:pPr>
      <w:r>
        <w:rPr>
          <w:rFonts w:ascii="宋体" w:hAnsi="宋体"/>
          <w:color w:val="auto"/>
          <w:szCs w:val="21"/>
        </w:rPr>
        <w:t>工程缺陷责任期为</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rPr>
        <w:t>个月，缺陷责任期自工程竣工验收合格之日起计算。单位工程先于全部工程进行验收，单位工程缺陷责任期自单位工程验收合格之日起算。</w:t>
      </w:r>
    </w:p>
    <w:p>
      <w:pPr>
        <w:shd w:val="clear" w:color="auto" w:fill="auto"/>
        <w:spacing w:line="360" w:lineRule="auto"/>
        <w:ind w:firstLine="411" w:firstLineChars="196"/>
        <w:rPr>
          <w:rFonts w:ascii="宋体" w:hAnsi="宋体"/>
          <w:color w:val="auto"/>
          <w:szCs w:val="21"/>
        </w:rPr>
      </w:pPr>
      <w:r>
        <w:rPr>
          <w:rFonts w:ascii="宋体" w:hAnsi="宋体"/>
          <w:color w:val="auto"/>
          <w:szCs w:val="21"/>
        </w:rPr>
        <w:t>缺陷责任期终止后，发包人</w:t>
      </w:r>
      <w:r>
        <w:rPr>
          <w:rFonts w:hint="eastAsia" w:ascii="宋体" w:hAnsi="宋体"/>
          <w:color w:val="auto"/>
          <w:szCs w:val="21"/>
        </w:rPr>
        <w:t>在完成最终结清后</w:t>
      </w:r>
      <w:r>
        <w:rPr>
          <w:rFonts w:ascii="宋体" w:hAnsi="宋体"/>
          <w:color w:val="auto"/>
          <w:szCs w:val="21"/>
        </w:rPr>
        <w:t>应退还</w:t>
      </w:r>
      <w:r>
        <w:rPr>
          <w:rFonts w:hint="eastAsia" w:ascii="宋体" w:hAnsi="宋体"/>
          <w:color w:val="auto"/>
          <w:szCs w:val="21"/>
        </w:rPr>
        <w:t>承包人的质量</w:t>
      </w:r>
      <w:r>
        <w:rPr>
          <w:rFonts w:ascii="宋体" w:hAnsi="宋体"/>
          <w:color w:val="auto"/>
          <w:szCs w:val="21"/>
        </w:rPr>
        <w:t>保证金</w:t>
      </w:r>
      <w:r>
        <w:rPr>
          <w:rFonts w:hint="eastAsia" w:ascii="宋体" w:hAnsi="宋体"/>
          <w:color w:val="auto"/>
          <w:szCs w:val="21"/>
        </w:rPr>
        <w:t>保函或</w:t>
      </w:r>
      <w:r>
        <w:rPr>
          <w:rFonts w:ascii="宋体" w:hAnsi="宋体"/>
          <w:color w:val="auto"/>
          <w:szCs w:val="21"/>
        </w:rPr>
        <w:t>剩余的质量保证金</w:t>
      </w:r>
      <w:r>
        <w:rPr>
          <w:rFonts w:hint="eastAsia" w:ascii="宋体" w:hAnsi="宋体"/>
          <w:color w:val="auto"/>
          <w:szCs w:val="21"/>
        </w:rPr>
        <w:t>。</w:t>
      </w:r>
    </w:p>
    <w:p>
      <w:pPr>
        <w:shd w:val="clear" w:color="auto" w:fill="auto"/>
        <w:spacing w:line="360" w:lineRule="auto"/>
        <w:ind w:firstLine="413" w:firstLineChars="196"/>
        <w:rPr>
          <w:rFonts w:ascii="宋体" w:hAnsi="宋体"/>
          <w:b/>
          <w:color w:val="auto"/>
          <w:szCs w:val="21"/>
        </w:rPr>
      </w:pPr>
      <w:r>
        <w:rPr>
          <w:rFonts w:ascii="宋体" w:hAnsi="宋体"/>
          <w:b/>
          <w:color w:val="auto"/>
          <w:szCs w:val="21"/>
        </w:rPr>
        <w:t>四、质量保修责任</w:t>
      </w:r>
    </w:p>
    <w:p>
      <w:pPr>
        <w:shd w:val="clear" w:color="auto" w:fill="auto"/>
        <w:spacing w:line="360" w:lineRule="auto"/>
        <w:ind w:left="105" w:leftChars="50" w:firstLine="420" w:firstLineChars="200"/>
        <w:rPr>
          <w:rFonts w:hint="eastAsia" w:ascii="宋体" w:hAnsi="宋体"/>
          <w:color w:val="auto"/>
          <w:szCs w:val="21"/>
        </w:rPr>
      </w:pPr>
      <w:r>
        <w:rPr>
          <w:rFonts w:hint="eastAsia" w:ascii="宋体" w:hAnsi="宋体"/>
          <w:color w:val="auto"/>
          <w:szCs w:val="21"/>
        </w:rPr>
        <w:t>1．</w:t>
      </w:r>
      <w:r>
        <w:rPr>
          <w:rFonts w:ascii="宋体" w:hAnsi="宋体"/>
          <w:color w:val="auto"/>
          <w:szCs w:val="21"/>
        </w:rPr>
        <w:t>属于保修范围、内容的项目，承包人应当在接到保修通知之日起7天内派人保修。承包人不在约定期限内派人保修的，发包人可以委托他人修理。</w:t>
      </w:r>
    </w:p>
    <w:p>
      <w:pPr>
        <w:shd w:val="clear" w:color="auto" w:fill="auto"/>
        <w:spacing w:line="360" w:lineRule="auto"/>
        <w:ind w:left="105" w:leftChars="50" w:firstLine="420" w:firstLineChars="200"/>
        <w:rPr>
          <w:rFonts w:hint="eastAsia" w:ascii="宋体" w:hAnsi="宋体"/>
          <w:color w:val="auto"/>
          <w:szCs w:val="21"/>
        </w:rPr>
      </w:pPr>
      <w:r>
        <w:rPr>
          <w:rFonts w:hint="eastAsia" w:ascii="宋体" w:hAnsi="宋体"/>
          <w:color w:val="auto"/>
          <w:szCs w:val="21"/>
        </w:rPr>
        <w:t>2．</w:t>
      </w:r>
      <w:r>
        <w:rPr>
          <w:rFonts w:ascii="宋体" w:hAnsi="宋体"/>
          <w:color w:val="auto"/>
          <w:szCs w:val="21"/>
        </w:rPr>
        <w:t>发生紧急事故需抢修的，承包人在接到事故通知后，应当立即到达事故现场抢修。</w:t>
      </w:r>
    </w:p>
    <w:p>
      <w:pPr>
        <w:shd w:val="clear" w:color="auto" w:fill="auto"/>
        <w:spacing w:line="360" w:lineRule="auto"/>
        <w:ind w:left="105" w:leftChars="50"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hd w:val="clear" w:color="auto" w:fill="auto"/>
        <w:spacing w:line="360" w:lineRule="auto"/>
        <w:ind w:left="105" w:leftChars="50" w:firstLine="420" w:firstLineChars="200"/>
        <w:rPr>
          <w:rFonts w:hint="eastAsia" w:ascii="宋体" w:hAnsi="宋体"/>
          <w:b/>
          <w:color w:val="auto"/>
          <w:szCs w:val="21"/>
        </w:rPr>
      </w:pPr>
      <w:r>
        <w:rPr>
          <w:rFonts w:hint="eastAsia" w:ascii="宋体" w:hAnsi="宋体"/>
          <w:color w:val="auto"/>
          <w:szCs w:val="21"/>
        </w:rPr>
        <w:t>4．</w:t>
      </w:r>
      <w:r>
        <w:rPr>
          <w:rFonts w:ascii="宋体" w:hAnsi="宋体"/>
          <w:color w:val="auto"/>
          <w:szCs w:val="21"/>
        </w:rPr>
        <w:t>质量保修完成后，由发包人组织验收。</w:t>
      </w:r>
    </w:p>
    <w:p>
      <w:pPr>
        <w:shd w:val="clear" w:color="auto" w:fill="auto"/>
        <w:spacing w:line="360" w:lineRule="auto"/>
        <w:ind w:firstLine="413" w:firstLineChars="196"/>
        <w:rPr>
          <w:rFonts w:ascii="宋体" w:hAnsi="宋体"/>
          <w:b/>
          <w:color w:val="auto"/>
          <w:szCs w:val="21"/>
        </w:rPr>
      </w:pPr>
      <w:r>
        <w:rPr>
          <w:rFonts w:ascii="宋体" w:hAnsi="宋体"/>
          <w:b/>
          <w:color w:val="auto"/>
          <w:szCs w:val="21"/>
        </w:rPr>
        <w:t>五、保修费用</w:t>
      </w:r>
    </w:p>
    <w:p>
      <w:pPr>
        <w:shd w:val="clear" w:color="auto" w:fill="auto"/>
        <w:spacing w:line="360" w:lineRule="auto"/>
        <w:ind w:firstLine="420" w:firstLineChars="200"/>
        <w:rPr>
          <w:rFonts w:ascii="宋体" w:hAnsi="宋体"/>
          <w:color w:val="auto"/>
          <w:szCs w:val="21"/>
        </w:rPr>
      </w:pPr>
      <w:r>
        <w:rPr>
          <w:rFonts w:ascii="宋体" w:hAnsi="宋体"/>
          <w:color w:val="auto"/>
          <w:szCs w:val="21"/>
        </w:rPr>
        <w:t>保修费用由造成质量缺陷的责任方承担。</w:t>
      </w:r>
    </w:p>
    <w:p>
      <w:pPr>
        <w:shd w:val="clear" w:color="auto" w:fill="auto"/>
        <w:spacing w:line="360" w:lineRule="auto"/>
        <w:ind w:firstLine="413" w:firstLineChars="196"/>
        <w:rPr>
          <w:rFonts w:ascii="宋体" w:hAnsi="宋体"/>
          <w:b/>
          <w:color w:val="auto"/>
          <w:szCs w:val="21"/>
          <w:u w:val="single"/>
        </w:rPr>
      </w:pPr>
      <w:r>
        <w:rPr>
          <w:rFonts w:ascii="宋体" w:hAnsi="宋体"/>
          <w:b/>
          <w:color w:val="auto"/>
          <w:szCs w:val="21"/>
        </w:rPr>
        <w:t>六、双方约定的其他工程质量保修事项：</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ascii="宋体" w:hAnsi="宋体"/>
          <w:color w:val="auto"/>
          <w:szCs w:val="21"/>
        </w:rPr>
        <w:t>。</w:t>
      </w:r>
    </w:p>
    <w:p>
      <w:pPr>
        <w:shd w:val="clear" w:color="auto" w:fill="auto"/>
        <w:spacing w:line="360" w:lineRule="auto"/>
        <w:ind w:firstLine="420" w:firstLineChars="200"/>
        <w:rPr>
          <w:rFonts w:ascii="宋体" w:hAnsi="宋体"/>
          <w:color w:val="auto"/>
          <w:szCs w:val="21"/>
        </w:rPr>
      </w:pPr>
      <w:r>
        <w:rPr>
          <w:rFonts w:ascii="宋体" w:hAnsi="宋体"/>
          <w:color w:val="auto"/>
          <w:szCs w:val="21"/>
        </w:rPr>
        <w:t>工程质量保修书由发包人、承包人在工程竣工验收前共同签署，作为施工合同附件，其有效期限至保修期满。</w:t>
      </w:r>
    </w:p>
    <w:p>
      <w:pPr>
        <w:shd w:val="clear" w:color="auto" w:fill="auto"/>
        <w:spacing w:line="276" w:lineRule="auto"/>
        <w:ind w:firstLine="420"/>
        <w:rPr>
          <w:rFonts w:ascii="宋体" w:hAnsi="宋体"/>
          <w:color w:val="auto"/>
          <w:szCs w:val="21"/>
        </w:rPr>
      </w:pPr>
    </w:p>
    <w:p>
      <w:pPr>
        <w:shd w:val="clear" w:color="auto" w:fill="auto"/>
        <w:spacing w:line="560" w:lineRule="exact"/>
        <w:rPr>
          <w:rFonts w:ascii="宋体" w:hAnsi="宋体"/>
          <w:color w:val="auto"/>
          <w:szCs w:val="21"/>
        </w:rPr>
      </w:pPr>
      <w:r>
        <w:rPr>
          <w:rFonts w:ascii="宋体" w:hAnsi="宋体"/>
          <w:color w:val="auto"/>
          <w:szCs w:val="21"/>
        </w:rPr>
        <w:t>发包人(公章)：</w:t>
      </w:r>
      <w:r>
        <w:rPr>
          <w:rFonts w:ascii="宋体" w:hAnsi="宋体"/>
          <w:color w:val="auto"/>
          <w:szCs w:val="21"/>
          <w:u w:val="single"/>
        </w:rPr>
        <w:t xml:space="preserve"> 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承包人(公章)：</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地  址：</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r>
        <w:rPr>
          <w:rFonts w:ascii="宋体" w:hAnsi="宋体"/>
          <w:color w:val="auto"/>
          <w:szCs w:val="21"/>
        </w:rPr>
        <w:t>地  址：</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法定代表人(签字)：</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法定代表人(签字)：</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委托代理人(签字)：</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委托代理人(签字)：</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电  话：</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  话：</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传  真：</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传  真：</w:t>
      </w:r>
      <w:r>
        <w:rPr>
          <w:rFonts w:ascii="宋体" w:hAnsi="宋体"/>
          <w:color w:val="auto"/>
          <w:szCs w:val="21"/>
          <w:u w:val="single"/>
        </w:rPr>
        <w:t></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开户银行：</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开户银行：</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hd w:val="clear" w:color="auto" w:fill="auto"/>
        <w:spacing w:line="560" w:lineRule="exact"/>
        <w:rPr>
          <w:rFonts w:ascii="宋体" w:hAnsi="宋体"/>
          <w:color w:val="auto"/>
          <w:szCs w:val="21"/>
        </w:rPr>
      </w:pPr>
      <w:r>
        <w:rPr>
          <w:rFonts w:ascii="宋体" w:hAnsi="宋体"/>
          <w:color w:val="auto"/>
          <w:szCs w:val="21"/>
        </w:rPr>
        <w:t>账  号：</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  </w:t>
      </w:r>
      <w:r>
        <w:rPr>
          <w:rFonts w:hint="eastAsia" w:ascii="宋体" w:hAnsi="宋体"/>
          <w:color w:val="auto"/>
          <w:szCs w:val="21"/>
          <w:u w:val="single"/>
        </w:rPr>
        <w:t xml:space="preserve"> </w:t>
      </w:r>
      <w:r>
        <w:rPr>
          <w:rFonts w:hint="eastAsia" w:ascii="宋体" w:hAnsi="宋体"/>
          <w:color w:val="auto"/>
          <w:szCs w:val="21"/>
        </w:rPr>
        <w:t xml:space="preserve">             </w:t>
      </w:r>
      <w:r>
        <w:rPr>
          <w:rFonts w:ascii="宋体" w:hAnsi="宋体"/>
          <w:color w:val="auto"/>
          <w:szCs w:val="21"/>
        </w:rPr>
        <w:t>账</w:t>
      </w:r>
      <w:r>
        <w:rPr>
          <w:rFonts w:hint="eastAsia" w:ascii="宋体" w:hAnsi="宋体"/>
          <w:color w:val="auto"/>
          <w:szCs w:val="21"/>
        </w:rPr>
        <w:t xml:space="preserve"> </w:t>
      </w:r>
      <w:r>
        <w:rPr>
          <w:rFonts w:ascii="宋体" w:hAnsi="宋体"/>
          <w:color w:val="auto"/>
          <w:szCs w:val="21"/>
        </w:rPr>
        <w:t xml:space="preserve"> 号：</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hd w:val="clear" w:color="auto" w:fill="auto"/>
        <w:spacing w:line="560" w:lineRule="exact"/>
        <w:rPr>
          <w:rFonts w:ascii="宋体" w:hAnsi="宋体"/>
          <w:color w:val="auto"/>
          <w:sz w:val="24"/>
          <w:u w:val="single"/>
        </w:rPr>
      </w:pPr>
      <w:r>
        <w:rPr>
          <w:rFonts w:ascii="宋体" w:hAnsi="宋体"/>
          <w:color w:val="auto"/>
          <w:szCs w:val="21"/>
        </w:rPr>
        <w:t>邮政编码：</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邮政编码：</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hd w:val="clear" w:color="auto" w:fill="auto"/>
        <w:rPr>
          <w:color w:val="auto"/>
        </w:rPr>
      </w:pPr>
    </w:p>
    <w:p>
      <w:pPr>
        <w:shd w:val="clear" w:color="auto" w:fill="auto"/>
        <w:spacing w:line="360" w:lineRule="auto"/>
        <w:ind w:firstLine="120" w:firstLineChars="50"/>
        <w:rPr>
          <w:color w:val="auto"/>
          <w:sz w:val="24"/>
        </w:rPr>
      </w:pPr>
      <w:r>
        <w:rPr>
          <w:rFonts w:hint="eastAsia"/>
          <w:color w:val="auto"/>
          <w:sz w:val="24"/>
        </w:rPr>
        <w:t>见证方（代理机构）：</w:t>
      </w:r>
    </w:p>
    <w:p>
      <w:pPr>
        <w:shd w:val="clear" w:color="auto" w:fill="auto"/>
        <w:spacing w:line="360" w:lineRule="auto"/>
        <w:ind w:firstLine="120" w:firstLineChars="50"/>
        <w:rPr>
          <w:color w:val="auto"/>
          <w:sz w:val="24"/>
        </w:rPr>
      </w:pPr>
      <w:r>
        <w:rPr>
          <w:rFonts w:hint="eastAsia"/>
          <w:color w:val="auto"/>
          <w:sz w:val="24"/>
        </w:rPr>
        <w:t>负责人：</w:t>
      </w:r>
    </w:p>
    <w:p>
      <w:pPr>
        <w:shd w:val="clear" w:color="auto" w:fill="auto"/>
        <w:spacing w:line="360" w:lineRule="auto"/>
        <w:ind w:firstLine="120" w:firstLineChars="50"/>
        <w:rPr>
          <w:color w:val="auto"/>
          <w:sz w:val="24"/>
        </w:rPr>
      </w:pPr>
      <w:r>
        <w:rPr>
          <w:rFonts w:hint="eastAsia"/>
          <w:color w:val="auto"/>
          <w:sz w:val="24"/>
        </w:rPr>
        <w:t>地址：</w:t>
      </w:r>
    </w:p>
    <w:p>
      <w:pPr>
        <w:rPr>
          <w:rFonts w:asciiTheme="minorEastAsia" w:hAnsiTheme="minorEastAsia" w:cstheme="minorEastAsia"/>
          <w:color w:val="auto"/>
          <w:sz w:val="24"/>
        </w:rPr>
      </w:pPr>
    </w:p>
    <w:sectPr>
      <w:footerReference r:id="rId5" w:type="default"/>
      <w:pgSz w:w="11906" w:h="16838"/>
      <w:pgMar w:top="1270" w:right="1463" w:bottom="127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5040"/>
      </w:tabs>
      <w:jc w:val="center"/>
      <w:rPr>
        <w:rFonts w:ascii="仿宋_GB2312" w:eastAsia="仿宋_GB2312"/>
      </w:rPr>
    </w:pP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clear" w:pos="5040"/>
      </w:tabs>
      <w:jc w:val="right"/>
      <w:rPr>
        <w:rFonts w:ascii="仿宋_GB2312" w:eastAsia="仿宋_GB2312"/>
        <w:b/>
        <w:i/>
        <w:u w:val="single"/>
      </w:rPr>
    </w:pPr>
    <w:r>
      <w:rPr>
        <w:rFonts w:hint="eastAsia"/>
      </w:rPr>
      <w:t xml:space="preserve">                                 </w:t>
    </w:r>
  </w:p>
  <w:p>
    <w:pPr>
      <w:pBdr>
        <w:bottom w:val="none" w:color="auto" w:sz="0" w:space="0"/>
      </w:pBd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11B00"/>
    <w:multiLevelType w:val="singleLevel"/>
    <w:tmpl w:val="DFE11B00"/>
    <w:lvl w:ilvl="0" w:tentative="0">
      <w:start w:val="1"/>
      <w:numFmt w:val="chineseCounting"/>
      <w:suff w:val="nothing"/>
      <w:lvlText w:val="（%1）"/>
      <w:lvlJc w:val="left"/>
      <w:pPr>
        <w:ind w:left="0" w:firstLine="420"/>
      </w:pPr>
      <w:rPr>
        <w:rFonts w:hint="eastAsia"/>
      </w:rPr>
    </w:lvl>
  </w:abstractNum>
  <w:abstractNum w:abstractNumId="1">
    <w:nsid w:val="00000002"/>
    <w:multiLevelType w:val="multilevel"/>
    <w:tmpl w:val="00000002"/>
    <w:lvl w:ilvl="0" w:tentative="0">
      <w:start w:val="1"/>
      <w:numFmt w:val="decimal"/>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6390A4F6"/>
    <w:multiLevelType w:val="singleLevel"/>
    <w:tmpl w:val="6390A4F6"/>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NzQwNzRkNjc5MGMyNTQzZmMxNDE2MzhjZTkzZjkifQ=="/>
  </w:docVars>
  <w:rsids>
    <w:rsidRoot w:val="124E1DB8"/>
    <w:rsid w:val="002C6FA6"/>
    <w:rsid w:val="00981326"/>
    <w:rsid w:val="00C03134"/>
    <w:rsid w:val="00C80AEF"/>
    <w:rsid w:val="00E916BD"/>
    <w:rsid w:val="00F86669"/>
    <w:rsid w:val="02557D02"/>
    <w:rsid w:val="02564E40"/>
    <w:rsid w:val="028C11CF"/>
    <w:rsid w:val="02BF5EC2"/>
    <w:rsid w:val="02C32E43"/>
    <w:rsid w:val="031E276F"/>
    <w:rsid w:val="043E3AAB"/>
    <w:rsid w:val="04F71ED5"/>
    <w:rsid w:val="04FE61A9"/>
    <w:rsid w:val="050A11A9"/>
    <w:rsid w:val="051554AC"/>
    <w:rsid w:val="05CE714D"/>
    <w:rsid w:val="06343CEE"/>
    <w:rsid w:val="063D115E"/>
    <w:rsid w:val="06950CBD"/>
    <w:rsid w:val="06D04BBC"/>
    <w:rsid w:val="077A1F3E"/>
    <w:rsid w:val="07A92999"/>
    <w:rsid w:val="08053EFD"/>
    <w:rsid w:val="08101A10"/>
    <w:rsid w:val="08993C1E"/>
    <w:rsid w:val="08DF3B1D"/>
    <w:rsid w:val="08F875BE"/>
    <w:rsid w:val="090039F0"/>
    <w:rsid w:val="090D73FC"/>
    <w:rsid w:val="09614B23"/>
    <w:rsid w:val="09AB2883"/>
    <w:rsid w:val="0A9B6453"/>
    <w:rsid w:val="0ACA0AE6"/>
    <w:rsid w:val="0AE55920"/>
    <w:rsid w:val="0C504748"/>
    <w:rsid w:val="0C66670E"/>
    <w:rsid w:val="0D66199D"/>
    <w:rsid w:val="0D745214"/>
    <w:rsid w:val="0D7D43D7"/>
    <w:rsid w:val="0D7F305A"/>
    <w:rsid w:val="0D8458C4"/>
    <w:rsid w:val="0EC85224"/>
    <w:rsid w:val="0F59068B"/>
    <w:rsid w:val="0F953DB9"/>
    <w:rsid w:val="1079770D"/>
    <w:rsid w:val="111404ED"/>
    <w:rsid w:val="113A2F11"/>
    <w:rsid w:val="11421D1E"/>
    <w:rsid w:val="11D84431"/>
    <w:rsid w:val="11ED2BDB"/>
    <w:rsid w:val="124E1DB8"/>
    <w:rsid w:val="131E40C5"/>
    <w:rsid w:val="1320583E"/>
    <w:rsid w:val="13741F37"/>
    <w:rsid w:val="13825B16"/>
    <w:rsid w:val="13A20852"/>
    <w:rsid w:val="13C407C9"/>
    <w:rsid w:val="13CF716E"/>
    <w:rsid w:val="14223741"/>
    <w:rsid w:val="1457788F"/>
    <w:rsid w:val="149C7315"/>
    <w:rsid w:val="15DA7246"/>
    <w:rsid w:val="165F0C7D"/>
    <w:rsid w:val="16610599"/>
    <w:rsid w:val="1674297A"/>
    <w:rsid w:val="16AA36D4"/>
    <w:rsid w:val="16DF1DC5"/>
    <w:rsid w:val="17204B78"/>
    <w:rsid w:val="176F3141"/>
    <w:rsid w:val="178C2DC6"/>
    <w:rsid w:val="17DA4A5F"/>
    <w:rsid w:val="17FF41C2"/>
    <w:rsid w:val="184C3483"/>
    <w:rsid w:val="18A2412B"/>
    <w:rsid w:val="19570331"/>
    <w:rsid w:val="19847AD4"/>
    <w:rsid w:val="1ACB7A3F"/>
    <w:rsid w:val="1B8F38A7"/>
    <w:rsid w:val="1B9901B3"/>
    <w:rsid w:val="1BF817CA"/>
    <w:rsid w:val="1C204A0A"/>
    <w:rsid w:val="1C853F45"/>
    <w:rsid w:val="1CA275F6"/>
    <w:rsid w:val="1D1E3330"/>
    <w:rsid w:val="1D5C6382"/>
    <w:rsid w:val="1D6F5C49"/>
    <w:rsid w:val="1DB16262"/>
    <w:rsid w:val="1DE44E95"/>
    <w:rsid w:val="1DFB73D1"/>
    <w:rsid w:val="1E6037E4"/>
    <w:rsid w:val="1E9D2342"/>
    <w:rsid w:val="1FCF0139"/>
    <w:rsid w:val="200F54C2"/>
    <w:rsid w:val="20DA5ACF"/>
    <w:rsid w:val="20FD3978"/>
    <w:rsid w:val="210C5668"/>
    <w:rsid w:val="210E7527"/>
    <w:rsid w:val="21BF5C2B"/>
    <w:rsid w:val="21E63C1B"/>
    <w:rsid w:val="21E80691"/>
    <w:rsid w:val="228E4DC3"/>
    <w:rsid w:val="2404770B"/>
    <w:rsid w:val="24155071"/>
    <w:rsid w:val="241F37F9"/>
    <w:rsid w:val="24482D50"/>
    <w:rsid w:val="25A264DF"/>
    <w:rsid w:val="262477ED"/>
    <w:rsid w:val="26AD333E"/>
    <w:rsid w:val="274B520B"/>
    <w:rsid w:val="280B5D02"/>
    <w:rsid w:val="28E91BC3"/>
    <w:rsid w:val="28EA13DF"/>
    <w:rsid w:val="293D2DAC"/>
    <w:rsid w:val="29842A7C"/>
    <w:rsid w:val="29CD5935"/>
    <w:rsid w:val="2A336250"/>
    <w:rsid w:val="2B8925CC"/>
    <w:rsid w:val="2BAA2AB5"/>
    <w:rsid w:val="2BE21CDC"/>
    <w:rsid w:val="2BE912BD"/>
    <w:rsid w:val="2C6941AB"/>
    <w:rsid w:val="2CE220D4"/>
    <w:rsid w:val="2CF25F4F"/>
    <w:rsid w:val="2D5B4D23"/>
    <w:rsid w:val="2E243977"/>
    <w:rsid w:val="2F0B32F8"/>
    <w:rsid w:val="2F0E4B96"/>
    <w:rsid w:val="2FF67B04"/>
    <w:rsid w:val="30442F65"/>
    <w:rsid w:val="30580361"/>
    <w:rsid w:val="31B45EC9"/>
    <w:rsid w:val="31F90214"/>
    <w:rsid w:val="31FF437A"/>
    <w:rsid w:val="321351AB"/>
    <w:rsid w:val="322546D1"/>
    <w:rsid w:val="32582CF8"/>
    <w:rsid w:val="32C2349A"/>
    <w:rsid w:val="339937C8"/>
    <w:rsid w:val="346D06AE"/>
    <w:rsid w:val="34F767F8"/>
    <w:rsid w:val="361A48B6"/>
    <w:rsid w:val="363200C8"/>
    <w:rsid w:val="372907BF"/>
    <w:rsid w:val="377B3CBC"/>
    <w:rsid w:val="37BE184F"/>
    <w:rsid w:val="37BF7375"/>
    <w:rsid w:val="383A69FC"/>
    <w:rsid w:val="38B1712F"/>
    <w:rsid w:val="395D72F1"/>
    <w:rsid w:val="39745F39"/>
    <w:rsid w:val="399A1E48"/>
    <w:rsid w:val="39ED61C5"/>
    <w:rsid w:val="3A9022AD"/>
    <w:rsid w:val="3B80172C"/>
    <w:rsid w:val="3BCE7B87"/>
    <w:rsid w:val="3C1A2DCC"/>
    <w:rsid w:val="3D2E4D81"/>
    <w:rsid w:val="3D36234F"/>
    <w:rsid w:val="3E45157C"/>
    <w:rsid w:val="3F1D32FF"/>
    <w:rsid w:val="3F635767"/>
    <w:rsid w:val="401E3671"/>
    <w:rsid w:val="409A4101"/>
    <w:rsid w:val="411B561D"/>
    <w:rsid w:val="41943EF2"/>
    <w:rsid w:val="41A03D74"/>
    <w:rsid w:val="41F45E6E"/>
    <w:rsid w:val="42911747"/>
    <w:rsid w:val="42A930FC"/>
    <w:rsid w:val="431B5DA8"/>
    <w:rsid w:val="432E715D"/>
    <w:rsid w:val="433B1FA6"/>
    <w:rsid w:val="44476729"/>
    <w:rsid w:val="44986044"/>
    <w:rsid w:val="45460A27"/>
    <w:rsid w:val="45667817"/>
    <w:rsid w:val="456D6663"/>
    <w:rsid w:val="45D93CF8"/>
    <w:rsid w:val="45E77448"/>
    <w:rsid w:val="46366A55"/>
    <w:rsid w:val="4666134F"/>
    <w:rsid w:val="471A45C8"/>
    <w:rsid w:val="478A6B4C"/>
    <w:rsid w:val="479C4FDD"/>
    <w:rsid w:val="47EC7D13"/>
    <w:rsid w:val="48633C63"/>
    <w:rsid w:val="4A0B1FA6"/>
    <w:rsid w:val="4A6D5FB3"/>
    <w:rsid w:val="4A9F3C48"/>
    <w:rsid w:val="4AB351B5"/>
    <w:rsid w:val="4B7342A7"/>
    <w:rsid w:val="4C63256E"/>
    <w:rsid w:val="4CFB26C0"/>
    <w:rsid w:val="4DC50327"/>
    <w:rsid w:val="4DFA480C"/>
    <w:rsid w:val="4E6879C7"/>
    <w:rsid w:val="4E8F13F8"/>
    <w:rsid w:val="4EFB083B"/>
    <w:rsid w:val="4F2757CC"/>
    <w:rsid w:val="4F8E118A"/>
    <w:rsid w:val="4F920C18"/>
    <w:rsid w:val="4FE25169"/>
    <w:rsid w:val="50242794"/>
    <w:rsid w:val="504771C7"/>
    <w:rsid w:val="50B74C36"/>
    <w:rsid w:val="50F42D67"/>
    <w:rsid w:val="511D5F49"/>
    <w:rsid w:val="5165416E"/>
    <w:rsid w:val="52F25F96"/>
    <w:rsid w:val="53530C46"/>
    <w:rsid w:val="53733096"/>
    <w:rsid w:val="5382777D"/>
    <w:rsid w:val="54790B80"/>
    <w:rsid w:val="54E66377"/>
    <w:rsid w:val="55862689"/>
    <w:rsid w:val="55CF198F"/>
    <w:rsid w:val="55DD15C7"/>
    <w:rsid w:val="569E48CE"/>
    <w:rsid w:val="56DF6C95"/>
    <w:rsid w:val="576A78C0"/>
    <w:rsid w:val="578F4217"/>
    <w:rsid w:val="57F16C7F"/>
    <w:rsid w:val="581F2CD6"/>
    <w:rsid w:val="589E39E1"/>
    <w:rsid w:val="59561490"/>
    <w:rsid w:val="59B44593"/>
    <w:rsid w:val="59BE3085"/>
    <w:rsid w:val="5A054C64"/>
    <w:rsid w:val="5AFC6067"/>
    <w:rsid w:val="5B2B4256"/>
    <w:rsid w:val="5B5C4D58"/>
    <w:rsid w:val="5BEE6A0C"/>
    <w:rsid w:val="5BF430F8"/>
    <w:rsid w:val="5C3F3AD5"/>
    <w:rsid w:val="5C5E43C5"/>
    <w:rsid w:val="5CAB1AF3"/>
    <w:rsid w:val="5CB61104"/>
    <w:rsid w:val="5CD456C7"/>
    <w:rsid w:val="5CFF1508"/>
    <w:rsid w:val="5D59154F"/>
    <w:rsid w:val="5DCB51DE"/>
    <w:rsid w:val="5E0D0017"/>
    <w:rsid w:val="5E1E4546"/>
    <w:rsid w:val="5E4C1B38"/>
    <w:rsid w:val="5E6F08FE"/>
    <w:rsid w:val="5F751F44"/>
    <w:rsid w:val="5FEB42F7"/>
    <w:rsid w:val="6011434F"/>
    <w:rsid w:val="601312E9"/>
    <w:rsid w:val="60DF3F53"/>
    <w:rsid w:val="610051C7"/>
    <w:rsid w:val="615A5DC9"/>
    <w:rsid w:val="62340E73"/>
    <w:rsid w:val="62EF200D"/>
    <w:rsid w:val="63612F0B"/>
    <w:rsid w:val="638766EA"/>
    <w:rsid w:val="63BD210C"/>
    <w:rsid w:val="63BF5E84"/>
    <w:rsid w:val="6417181C"/>
    <w:rsid w:val="64C360B1"/>
    <w:rsid w:val="65130235"/>
    <w:rsid w:val="6522491C"/>
    <w:rsid w:val="65F53EAC"/>
    <w:rsid w:val="66014531"/>
    <w:rsid w:val="66345740"/>
    <w:rsid w:val="66777334"/>
    <w:rsid w:val="66F83B86"/>
    <w:rsid w:val="673D459B"/>
    <w:rsid w:val="674C7A2E"/>
    <w:rsid w:val="67635DBB"/>
    <w:rsid w:val="683A3D2B"/>
    <w:rsid w:val="688C2F03"/>
    <w:rsid w:val="698E6C7E"/>
    <w:rsid w:val="698E6DBC"/>
    <w:rsid w:val="6A04474E"/>
    <w:rsid w:val="6A641533"/>
    <w:rsid w:val="6AAE27AE"/>
    <w:rsid w:val="6AC43F90"/>
    <w:rsid w:val="6AE540CE"/>
    <w:rsid w:val="6B560E7C"/>
    <w:rsid w:val="6B563571"/>
    <w:rsid w:val="6D1A412B"/>
    <w:rsid w:val="6D636180"/>
    <w:rsid w:val="6DF01828"/>
    <w:rsid w:val="6F250CF6"/>
    <w:rsid w:val="704B7E6C"/>
    <w:rsid w:val="70820965"/>
    <w:rsid w:val="70A1528F"/>
    <w:rsid w:val="71025602"/>
    <w:rsid w:val="71475675"/>
    <w:rsid w:val="714B2EB2"/>
    <w:rsid w:val="71997D14"/>
    <w:rsid w:val="726A7902"/>
    <w:rsid w:val="73E479F6"/>
    <w:rsid w:val="7406129A"/>
    <w:rsid w:val="74A6025A"/>
    <w:rsid w:val="75BC0475"/>
    <w:rsid w:val="76124539"/>
    <w:rsid w:val="762A7AD4"/>
    <w:rsid w:val="766B05BB"/>
    <w:rsid w:val="76D57A40"/>
    <w:rsid w:val="77480BC4"/>
    <w:rsid w:val="77A967D7"/>
    <w:rsid w:val="78014865"/>
    <w:rsid w:val="7887021C"/>
    <w:rsid w:val="789D1F52"/>
    <w:rsid w:val="78E55F35"/>
    <w:rsid w:val="790169F5"/>
    <w:rsid w:val="7944039D"/>
    <w:rsid w:val="7A266B63"/>
    <w:rsid w:val="7ABB519F"/>
    <w:rsid w:val="7BB120FE"/>
    <w:rsid w:val="7C142DB9"/>
    <w:rsid w:val="7CD31D11"/>
    <w:rsid w:val="7CD36C81"/>
    <w:rsid w:val="7D5E0064"/>
    <w:rsid w:val="7DD547CA"/>
    <w:rsid w:val="7DFE6E4D"/>
    <w:rsid w:val="7E105802"/>
    <w:rsid w:val="7E7C4C45"/>
    <w:rsid w:val="7E997407"/>
    <w:rsid w:val="7EA30424"/>
    <w:rsid w:val="7EBD11F9"/>
    <w:rsid w:val="7F6A2CF0"/>
    <w:rsid w:val="7FFE3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3"/>
    <w:basedOn w:val="1"/>
    <w:next w:val="1"/>
    <w:qFormat/>
    <w:uiPriority w:val="0"/>
    <w:pPr>
      <w:numPr>
        <w:ilvl w:val="2"/>
        <w:numId w:val="1"/>
      </w:numPr>
      <w:autoSpaceDE w:val="0"/>
      <w:autoSpaceDN w:val="0"/>
      <w:adjustRightInd w:val="0"/>
      <w:spacing w:line="300" w:lineRule="auto"/>
      <w:textAlignment w:val="baseline"/>
      <w:outlineLvl w:val="2"/>
    </w:pPr>
    <w:rPr>
      <w:rFonts w:ascii="黑体" w:eastAsia="黑体"/>
      <w:b/>
      <w:color w:val="000000"/>
      <w:kern w:val="0"/>
      <w:sz w:val="28"/>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0"/>
    <w:pPr>
      <w:ind w:firstLine="420" w:firstLineChars="200"/>
    </w:pPr>
    <w:rPr>
      <w:rFonts w:ascii="Calibri" w:hAnsi="Calibri"/>
      <w:szCs w:val="22"/>
    </w:rPr>
  </w:style>
  <w:style w:type="paragraph" w:styleId="6">
    <w:name w:val="Body Text"/>
    <w:basedOn w:val="1"/>
    <w:next w:val="7"/>
    <w:qFormat/>
    <w:uiPriority w:val="0"/>
    <w:pPr>
      <w:spacing w:after="120"/>
    </w:pPr>
  </w:style>
  <w:style w:type="paragraph" w:styleId="7">
    <w:name w:val="Body Text First Indent"/>
    <w:basedOn w:val="6"/>
    <w:next w:val="8"/>
    <w:unhideWhenUsed/>
    <w:qFormat/>
    <w:uiPriority w:val="99"/>
    <w:pPr>
      <w:ind w:firstLine="420" w:firstLineChars="100"/>
    </w:pPr>
  </w:style>
  <w:style w:type="paragraph" w:styleId="8">
    <w:name w:val="toc 6"/>
    <w:basedOn w:val="1"/>
    <w:next w:val="1"/>
    <w:qFormat/>
    <w:uiPriority w:val="0"/>
    <w:pPr>
      <w:autoSpaceDE w:val="0"/>
      <w:autoSpaceDN w:val="0"/>
      <w:adjustRightInd w:val="0"/>
      <w:ind w:left="2100" w:leftChars="1000"/>
      <w:jc w:val="left"/>
    </w:pPr>
    <w:rPr>
      <w:kern w:val="0"/>
      <w:sz w:val="20"/>
      <w:szCs w:val="20"/>
    </w:rPr>
  </w:style>
  <w:style w:type="paragraph" w:styleId="9">
    <w:name w:val="Body Text Indent"/>
    <w:basedOn w:val="1"/>
    <w:next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cs="Courier New"/>
      <w:szCs w:val="21"/>
    </w:rPr>
  </w:style>
  <w:style w:type="paragraph" w:styleId="11">
    <w:name w:val="footer"/>
    <w:basedOn w:val="1"/>
    <w:unhideWhenUsed/>
    <w:qFormat/>
    <w:uiPriority w:val="99"/>
    <w:pPr>
      <w:tabs>
        <w:tab w:val="center" w:pos="4153"/>
        <w:tab w:val="left" w:pos="5040"/>
        <w:tab w:val="right" w:pos="8306"/>
      </w:tabs>
      <w:snapToGrid w:val="0"/>
    </w:pPr>
    <w:rPr>
      <w:sz w:val="18"/>
      <w:szCs w:val="18"/>
    </w:rPr>
  </w:style>
  <w:style w:type="paragraph" w:styleId="12">
    <w:name w:val="header"/>
    <w:basedOn w:val="1"/>
    <w:unhideWhenUsed/>
    <w:qFormat/>
    <w:uiPriority w:val="99"/>
    <w:pPr>
      <w:tabs>
        <w:tab w:val="center" w:pos="4153"/>
        <w:tab w:val="left" w:pos="5040"/>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cs="Times New Roman"/>
      <w:kern w:val="0"/>
      <w:sz w:val="24"/>
    </w:rPr>
  </w:style>
  <w:style w:type="paragraph" w:styleId="14">
    <w:name w:val="Body Text First Indent 2"/>
    <w:basedOn w:val="9"/>
    <w:next w:val="7"/>
    <w:qFormat/>
    <w:uiPriority w:val="0"/>
    <w:pPr>
      <w:spacing w:after="120" w:line="240" w:lineRule="auto"/>
      <w:ind w:left="420" w:leftChars="200" w:firstLine="200"/>
    </w:pPr>
    <w:rPr>
      <w:sz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paragraph" w:customStyle="1" w:styleId="20">
    <w:name w:val="_Style 3"/>
    <w:basedOn w:val="1"/>
    <w:qFormat/>
    <w:uiPriority w:val="0"/>
    <w:pPr>
      <w:ind w:firstLine="420" w:firstLineChars="200"/>
    </w:pPr>
    <w:rPr>
      <w:rFonts w:eastAsia="仿宋_GB2312"/>
      <w:sz w:val="28"/>
    </w:rPr>
  </w:style>
  <w:style w:type="paragraph" w:customStyle="1" w:styleId="21">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2">
    <w:name w:val="索引 11"/>
    <w:basedOn w:val="1"/>
    <w:next w:val="1"/>
    <w:qFormat/>
    <w:uiPriority w:val="99"/>
    <w:pPr>
      <w:spacing w:line="360" w:lineRule="auto"/>
    </w:pPr>
    <w:rPr>
      <w:rFonts w:ascii="仿宋_GB2312" w:eastAsia="仿宋_GB2312"/>
      <w:sz w:val="24"/>
      <w:szCs w:val="20"/>
    </w:rPr>
  </w:style>
  <w:style w:type="paragraph" w:customStyle="1" w:styleId="23">
    <w:name w:val="纯文本1"/>
    <w:basedOn w:val="1"/>
    <w:qFormat/>
    <w:uiPriority w:val="0"/>
    <w:rPr>
      <w:rFonts w:ascii="宋体" w:hAnsi="Courier New"/>
      <w:kern w:val="0"/>
      <w:sz w:val="20"/>
      <w:szCs w:val="20"/>
    </w:rPr>
  </w:style>
  <w:style w:type="paragraph" w:customStyle="1" w:styleId="24">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公告正文"/>
    <w:basedOn w:val="1"/>
    <w:qFormat/>
    <w:uiPriority w:val="0"/>
    <w:pPr>
      <w:spacing w:line="400" w:lineRule="atLeast"/>
      <w:ind w:firstLine="437"/>
    </w:pPr>
    <w:rPr>
      <w:rFonts w:ascii="宋体" w:hAnsi="宋体"/>
      <w:kern w:val="0"/>
      <w:sz w:val="24"/>
    </w:rPr>
  </w:style>
  <w:style w:type="paragraph" w:customStyle="1" w:styleId="26">
    <w:name w:val="须知二级小标题"/>
    <w:basedOn w:val="1"/>
    <w:qFormat/>
    <w:uiPriority w:val="0"/>
    <w:pPr>
      <w:spacing w:line="500" w:lineRule="exact"/>
    </w:pPr>
    <w:rPr>
      <w:rFonts w:ascii="宋体"/>
      <w:b/>
      <w:sz w:val="24"/>
    </w:rPr>
  </w:style>
  <w:style w:type="paragraph" w:customStyle="1" w:styleId="27">
    <w:name w:val="纯文本2"/>
    <w:basedOn w:val="1"/>
    <w:qFormat/>
    <w:uiPriority w:val="0"/>
    <w:rPr>
      <w:rFonts w:ascii="宋体" w:hAnsi="Courier New" w:eastAsia="Times New Roman"/>
      <w:kern w:val="0"/>
      <w:sz w:val="20"/>
    </w:rPr>
  </w:style>
  <w:style w:type="paragraph" w:customStyle="1" w:styleId="28">
    <w:name w:val="稻壳合同样式 1级"/>
    <w:basedOn w:val="1"/>
    <w:qFormat/>
    <w:uiPriority w:val="0"/>
    <w:pPr>
      <w:ind w:firstLine="720" w:firstLineChars="200"/>
      <w:outlineLvl w:val="0"/>
    </w:pPr>
    <w:rPr>
      <w:rFonts w:hint="eastAsia"/>
    </w:rPr>
  </w:style>
  <w:style w:type="paragraph" w:customStyle="1" w:styleId="29">
    <w:name w:val="稻壳合同样式 2级"/>
    <w:basedOn w:val="1"/>
    <w:qFormat/>
    <w:uiPriority w:val="0"/>
    <w:pPr>
      <w:ind w:firstLine="720" w:firstLineChars="200"/>
      <w:outlineLvl w:val="1"/>
    </w:pPr>
    <w:rPr>
      <w:rFonts w:hint="eastAsia"/>
    </w:rPr>
  </w:style>
  <w:style w:type="paragraph" w:customStyle="1" w:styleId="30">
    <w:name w:val="稻壳合同样式 3级"/>
    <w:basedOn w:val="1"/>
    <w:qFormat/>
    <w:uiPriority w:val="0"/>
    <w:pPr>
      <w:ind w:firstLine="720" w:firstLineChars="200"/>
      <w:outlineLvl w:val="2"/>
    </w:pPr>
    <w:rPr>
      <w:rFonts w:hint="eastAsia"/>
    </w:rPr>
  </w:style>
  <w:style w:type="paragraph" w:customStyle="1" w:styleId="31">
    <w:name w:val="Plain Text"/>
    <w:basedOn w:val="1"/>
    <w:qFormat/>
    <w:uiPriority w:val="0"/>
    <w:rPr>
      <w:rFonts w:ascii="宋体" w:hAnsi="Courier New" w:eastAsia="Times New Roman"/>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52586</Words>
  <Characters>8749</Characters>
  <Lines>72</Lines>
  <Paragraphs>122</Paragraphs>
  <TotalTime>3</TotalTime>
  <ScaleCrop>false</ScaleCrop>
  <LinksUpToDate>false</LinksUpToDate>
  <CharactersWithSpaces>61213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2023-06-07T04:13:00Z</dcterms:created>
  <dc:creator>Ding.</dc:creator>
  <cp:lastModifiedBy>Dell</cp:lastModifiedBy>
  <dcterms:modified xsi:type="dcterms:W3CDTF">2023-07-11T03:59:29Z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6D42C9BB02E94DE3A43A498260F94662_11</vt:lpwstr>
  </property>
</Properties>
</file>