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楷体_GB2312" w:hAnsi="楷体_GB2312" w:eastAsia="楷体_GB2312" w:cs="楷体_GB2312"/>
          <w:b w:val="0"/>
          <w:bCs/>
          <w:sz w:val="32"/>
          <w:szCs w:val="32"/>
          <w:lang w:eastAsia="zh-CN"/>
        </w:rPr>
      </w:pPr>
      <w:bookmarkStart w:id="0" w:name="_Toc63882070"/>
      <w:bookmarkStart w:id="1" w:name="_Toc787"/>
      <w:bookmarkStart w:id="2" w:name="_Toc63879870"/>
      <w:bookmarkStart w:id="3" w:name="_Toc5534"/>
      <w:bookmarkStart w:id="4" w:name="_Toc66306093"/>
      <w:bookmarkStart w:id="5" w:name="_Toc4096"/>
      <w:bookmarkStart w:id="6" w:name="_Toc29995"/>
      <w:bookmarkStart w:id="7" w:name="_Toc20354"/>
      <w:bookmarkStart w:id="8" w:name="_Toc30677"/>
      <w:bookmarkStart w:id="9" w:name="_Toc5774"/>
      <w:bookmarkStart w:id="10" w:name="_Toc63878544"/>
      <w:bookmarkStart w:id="11" w:name="_Toc32666"/>
      <w:bookmarkStart w:id="12" w:name="_Toc20360"/>
      <w:bookmarkStart w:id="13" w:name="_Hlk63880084"/>
      <w:bookmarkStart w:id="14" w:name="_Hlk21425862"/>
      <w:r>
        <w:rPr>
          <w:rFonts w:hint="eastAsia" w:ascii="楷体_GB2312" w:hAnsi="楷体_GB2312" w:eastAsia="楷体_GB2312" w:cs="楷体_GB2312"/>
          <w:b w:val="0"/>
          <w:bCs/>
          <w:sz w:val="32"/>
          <w:szCs w:val="32"/>
          <w:lang w:eastAsia="zh-CN"/>
        </w:rPr>
        <w:t>意见征求稿</w:t>
      </w:r>
    </w:p>
    <w:p>
      <w:pPr>
        <w:ind w:firstLine="0" w:firstLineChars="0"/>
        <w:jc w:val="center"/>
        <w:rPr>
          <w:rFonts w:ascii="宋体" w:hAnsi="宋体"/>
          <w:b/>
          <w:sz w:val="48"/>
          <w:szCs w:val="48"/>
        </w:rPr>
      </w:pPr>
    </w:p>
    <w:p>
      <w:pPr>
        <w:ind w:firstLine="0" w:firstLineChars="0"/>
        <w:jc w:val="center"/>
        <w:rPr>
          <w:rFonts w:ascii="宋体" w:hAnsi="宋体"/>
          <w:b/>
          <w:sz w:val="48"/>
          <w:szCs w:val="48"/>
        </w:rPr>
      </w:pPr>
    </w:p>
    <w:p>
      <w:pPr>
        <w:ind w:firstLine="0" w:firstLineChars="0"/>
        <w:jc w:val="center"/>
        <w:rPr>
          <w:rFonts w:ascii="宋体" w:hAnsi="宋体"/>
          <w:b/>
          <w:sz w:val="48"/>
          <w:szCs w:val="48"/>
        </w:rPr>
      </w:pPr>
    </w:p>
    <w:p>
      <w:pPr>
        <w:ind w:firstLine="0" w:firstLineChars="0"/>
        <w:jc w:val="center"/>
        <w:rPr>
          <w:rFonts w:ascii="宋体" w:hAnsi="宋体"/>
          <w:b/>
          <w:sz w:val="48"/>
          <w:szCs w:val="48"/>
        </w:rPr>
      </w:pPr>
    </w:p>
    <w:p>
      <w:pPr>
        <w:ind w:firstLine="0" w:firstLineChars="0"/>
        <w:jc w:val="center"/>
        <w:rPr>
          <w:rFonts w:ascii="宋体" w:hAnsi="宋体" w:eastAsia="宋体"/>
          <w:b/>
          <w:sz w:val="48"/>
          <w:szCs w:val="48"/>
        </w:rPr>
      </w:pPr>
    </w:p>
    <w:p>
      <w:pPr>
        <w:ind w:firstLine="0" w:firstLineChars="0"/>
        <w:jc w:val="center"/>
        <w:rPr>
          <w:rFonts w:ascii="宋体" w:hAnsi="宋体" w:eastAsia="宋体"/>
          <w:b/>
          <w:sz w:val="48"/>
          <w:szCs w:val="48"/>
        </w:rPr>
      </w:pPr>
      <w:r>
        <w:rPr>
          <w:rFonts w:hint="eastAsia" w:ascii="宋体" w:hAnsi="宋体" w:eastAsia="宋体"/>
          <w:b/>
          <w:sz w:val="48"/>
          <w:szCs w:val="48"/>
        </w:rPr>
        <w:t>宁波市奉化区教育事业发展“十四五”规划</w:t>
      </w:r>
    </w:p>
    <w:p>
      <w:pPr>
        <w:ind w:firstLine="964"/>
        <w:jc w:val="center"/>
        <w:rPr>
          <w:rFonts w:ascii="宋体" w:hAnsi="宋体" w:eastAsia="宋体"/>
          <w:b/>
          <w:sz w:val="48"/>
          <w:szCs w:val="48"/>
        </w:rPr>
      </w:pPr>
      <w:r>
        <w:rPr>
          <w:rFonts w:hint="eastAsia" w:ascii="宋体" w:hAnsi="宋体" w:eastAsia="宋体"/>
          <w:b/>
          <w:sz w:val="48"/>
          <w:szCs w:val="48"/>
        </w:rPr>
        <w:t>（</w:t>
      </w:r>
      <w:r>
        <w:rPr>
          <w:rFonts w:ascii="宋体" w:hAnsi="宋体" w:eastAsia="宋体"/>
          <w:b/>
          <w:sz w:val="48"/>
          <w:szCs w:val="48"/>
        </w:rPr>
        <w:t>2021—2025</w:t>
      </w:r>
      <w:r>
        <w:rPr>
          <w:rFonts w:hint="eastAsia" w:ascii="宋体" w:hAnsi="宋体" w:eastAsia="宋体"/>
          <w:b/>
          <w:sz w:val="48"/>
          <w:szCs w:val="48"/>
        </w:rPr>
        <w:t>年）</w:t>
      </w:r>
    </w:p>
    <w:p>
      <w:pPr>
        <w:ind w:firstLine="964"/>
        <w:jc w:val="center"/>
        <w:rPr>
          <w:rFonts w:ascii="宋体" w:hAnsi="宋体" w:eastAsia="宋体"/>
          <w:b/>
          <w:sz w:val="48"/>
          <w:szCs w:val="48"/>
        </w:rPr>
      </w:pPr>
    </w:p>
    <w:p>
      <w:pPr>
        <w:ind w:firstLine="964"/>
        <w:jc w:val="center"/>
        <w:rPr>
          <w:rFonts w:ascii="宋体" w:hAnsi="宋体" w:eastAsia="宋体"/>
          <w:b/>
          <w:sz w:val="48"/>
          <w:szCs w:val="48"/>
        </w:rPr>
      </w:pPr>
    </w:p>
    <w:p>
      <w:pPr>
        <w:ind w:firstLine="964"/>
        <w:jc w:val="center"/>
        <w:rPr>
          <w:rFonts w:ascii="宋体" w:hAnsi="宋体" w:eastAsia="宋体"/>
          <w:b/>
          <w:sz w:val="48"/>
          <w:szCs w:val="48"/>
        </w:rPr>
      </w:pPr>
    </w:p>
    <w:p>
      <w:pPr>
        <w:pStyle w:val="22"/>
        <w:ind w:firstLine="321"/>
        <w:rPr>
          <w:rFonts w:ascii="宋体" w:hAnsi="宋体" w:eastAsia="宋体"/>
          <w:b/>
        </w:rPr>
      </w:pPr>
    </w:p>
    <w:p>
      <w:pPr>
        <w:pStyle w:val="22"/>
        <w:ind w:firstLine="321"/>
        <w:rPr>
          <w:rFonts w:ascii="宋体" w:hAnsi="宋体" w:eastAsia="宋体"/>
          <w:b/>
        </w:rPr>
      </w:pPr>
    </w:p>
    <w:p>
      <w:pPr>
        <w:pStyle w:val="22"/>
        <w:ind w:firstLine="321"/>
        <w:rPr>
          <w:rFonts w:ascii="宋体" w:hAnsi="宋体" w:eastAsia="宋体"/>
          <w:b/>
        </w:rPr>
      </w:pPr>
    </w:p>
    <w:p>
      <w:pPr>
        <w:pStyle w:val="22"/>
        <w:ind w:firstLine="321"/>
        <w:rPr>
          <w:rFonts w:ascii="宋体" w:hAnsi="宋体" w:eastAsia="宋体"/>
          <w:b/>
        </w:rPr>
      </w:pPr>
    </w:p>
    <w:p>
      <w:pPr>
        <w:pStyle w:val="22"/>
        <w:ind w:firstLine="321"/>
        <w:rPr>
          <w:rFonts w:ascii="宋体" w:hAnsi="宋体" w:eastAsia="宋体"/>
          <w:b/>
        </w:rPr>
      </w:pPr>
    </w:p>
    <w:p>
      <w:pPr>
        <w:pStyle w:val="22"/>
        <w:ind w:firstLine="321"/>
        <w:rPr>
          <w:rFonts w:ascii="宋体" w:hAnsi="宋体" w:eastAsia="宋体"/>
          <w:b/>
        </w:rPr>
      </w:pPr>
    </w:p>
    <w:p>
      <w:pPr>
        <w:pStyle w:val="22"/>
        <w:ind w:firstLine="321"/>
        <w:rPr>
          <w:rFonts w:ascii="宋体" w:hAnsi="宋体" w:eastAsia="宋体"/>
          <w:b/>
        </w:rPr>
      </w:pPr>
    </w:p>
    <w:p>
      <w:pPr>
        <w:pStyle w:val="22"/>
        <w:ind w:firstLine="321"/>
        <w:rPr>
          <w:rFonts w:ascii="宋体" w:hAnsi="宋体" w:eastAsia="宋体"/>
          <w:b/>
        </w:rPr>
      </w:pPr>
    </w:p>
    <w:p>
      <w:pPr>
        <w:pStyle w:val="22"/>
        <w:ind w:firstLine="321"/>
        <w:rPr>
          <w:rFonts w:hint="eastAsia" w:ascii="宋体" w:hAnsi="宋体" w:eastAsia="宋体"/>
          <w:b/>
        </w:rPr>
      </w:pPr>
    </w:p>
    <w:p>
      <w:pPr>
        <w:spacing w:line="240" w:lineRule="auto"/>
        <w:ind w:firstLine="0" w:firstLineChars="0"/>
        <w:jc w:val="center"/>
        <w:rPr>
          <w:rFonts w:ascii="宋体" w:hAnsi="宋体" w:eastAsia="宋体"/>
          <w:b/>
        </w:rPr>
      </w:pPr>
      <w:r>
        <w:rPr>
          <w:rFonts w:ascii="宋体" w:hAnsi="宋体" w:eastAsia="宋体"/>
          <w:b/>
        </w:rPr>
        <w:t xml:space="preserve">   </w:t>
      </w:r>
      <w:bookmarkStart w:id="15" w:name="_Toc57053263"/>
      <w:bookmarkStart w:id="16" w:name="_Toc57053197"/>
      <w:bookmarkStart w:id="17" w:name="_Toc13758"/>
      <w:r>
        <w:rPr>
          <w:rFonts w:hint="eastAsia" w:ascii="宋体" w:hAnsi="宋体" w:eastAsia="宋体"/>
          <w:b/>
        </w:rPr>
        <w:t>202</w:t>
      </w:r>
      <w:r>
        <w:rPr>
          <w:rFonts w:ascii="宋体" w:hAnsi="宋体" w:eastAsia="宋体"/>
          <w:b/>
        </w:rPr>
        <w:t>1</w:t>
      </w:r>
      <w:r>
        <w:rPr>
          <w:rFonts w:hint="eastAsia" w:ascii="宋体" w:hAnsi="宋体" w:eastAsia="宋体"/>
          <w:b/>
        </w:rPr>
        <w:t>年</w:t>
      </w:r>
      <w:r>
        <w:rPr>
          <w:rFonts w:ascii="宋体" w:hAnsi="宋体" w:eastAsia="宋体"/>
          <w:b/>
        </w:rPr>
        <w:t>9</w:t>
      </w:r>
      <w:r>
        <w:rPr>
          <w:rFonts w:hint="eastAsia" w:ascii="宋体" w:hAnsi="宋体" w:eastAsia="宋体"/>
          <w:b/>
        </w:rPr>
        <w:t>月</w:t>
      </w:r>
      <w:bookmarkEnd w:id="15"/>
      <w:bookmarkEnd w:id="16"/>
      <w:bookmarkEnd w:id="17"/>
    </w:p>
    <w:p>
      <w:pPr>
        <w:pStyle w:val="22"/>
        <w:ind w:firstLine="321"/>
        <w:rPr>
          <w:rFonts w:ascii="宋体" w:hAnsi="宋体" w:eastAsia="宋体"/>
          <w:b/>
        </w:rPr>
      </w:pPr>
    </w:p>
    <w:p>
      <w:pPr>
        <w:pStyle w:val="22"/>
        <w:ind w:firstLine="321"/>
        <w:rPr>
          <w:rFonts w:ascii="宋体" w:hAnsi="宋体" w:eastAsia="宋体"/>
          <w:b/>
        </w:rPr>
      </w:pPr>
      <w:r>
        <w:rPr>
          <w:rFonts w:ascii="宋体" w:hAnsi="宋体" w:eastAsia="宋体"/>
          <w:b/>
        </w:rPr>
        <w:br w:type="page"/>
      </w:r>
    </w:p>
    <w:p>
      <w:pPr>
        <w:pStyle w:val="22"/>
        <w:ind w:firstLine="321"/>
        <w:rPr>
          <w:rFonts w:ascii="宋体" w:hAnsi="宋体" w:eastAsia="宋体"/>
          <w:b/>
        </w:rPr>
      </w:pPr>
      <w:r>
        <w:rPr>
          <w:rFonts w:ascii="宋体" w:hAnsi="宋体" w:eastAsia="宋体"/>
          <w:b/>
        </w:rPr>
        <w:br w:type="page"/>
      </w:r>
    </w:p>
    <w:p>
      <w:pPr>
        <w:pStyle w:val="22"/>
        <w:tabs>
          <w:tab w:val="left" w:pos="2715"/>
        </w:tabs>
        <w:ind w:firstLine="0" w:firstLineChars="0"/>
        <w:jc w:val="center"/>
        <w:rPr>
          <w:rFonts w:ascii="宋体" w:hAnsi="宋体" w:eastAsia="宋体"/>
          <w:b/>
        </w:rPr>
      </w:pPr>
    </w:p>
    <w:p>
      <w:pPr>
        <w:pStyle w:val="22"/>
        <w:tabs>
          <w:tab w:val="left" w:pos="2715"/>
        </w:tabs>
        <w:ind w:firstLine="0" w:firstLineChars="0"/>
        <w:jc w:val="center"/>
        <w:rPr>
          <w:rFonts w:ascii="宋体" w:hAnsi="宋体" w:eastAsia="宋体"/>
          <w:b/>
        </w:rPr>
      </w:pPr>
      <w:r>
        <w:rPr>
          <w:rFonts w:hint="eastAsia" w:ascii="宋体" w:hAnsi="宋体" w:eastAsia="宋体"/>
          <w:b/>
        </w:rPr>
        <w:t>目录</w:t>
      </w:r>
    </w:p>
    <w:p>
      <w:pPr>
        <w:pStyle w:val="16"/>
        <w:tabs>
          <w:tab w:val="right" w:leader="dot" w:pos="8948"/>
        </w:tabs>
        <w:ind w:firstLine="482"/>
        <w:rPr>
          <w:rFonts w:asciiTheme="minorHAnsi" w:hAnsiTheme="minorHAnsi" w:eastAsiaTheme="minorEastAsia" w:cstheme="minorBidi"/>
          <w:b w:val="0"/>
          <w:bCs w:val="0"/>
          <w:iCs w:val="0"/>
          <w:kern w:val="2"/>
          <w:sz w:val="21"/>
          <w:szCs w:val="22"/>
        </w:rPr>
      </w:pPr>
      <w:r>
        <w:fldChar w:fldCharType="begin"/>
      </w:r>
      <w:r>
        <w:instrText xml:space="preserve"> TOC \o "1-2" \h \z \u </w:instrText>
      </w:r>
      <w:r>
        <w:fldChar w:fldCharType="separate"/>
      </w:r>
      <w:r>
        <w:fldChar w:fldCharType="begin"/>
      </w:r>
      <w:r>
        <w:instrText xml:space="preserve"> HYPERLINK \l "_Toc82850572" </w:instrText>
      </w:r>
      <w:r>
        <w:fldChar w:fldCharType="separate"/>
      </w:r>
      <w:r>
        <w:rPr>
          <w:rStyle w:val="29"/>
        </w:rPr>
        <w:t>一、发展现状</w:t>
      </w:r>
      <w:r>
        <w:tab/>
      </w:r>
      <w:r>
        <w:fldChar w:fldCharType="begin"/>
      </w:r>
      <w:r>
        <w:instrText xml:space="preserve"> PAGEREF _Toc82850572 \h </w:instrText>
      </w:r>
      <w:r>
        <w:fldChar w:fldCharType="separate"/>
      </w:r>
      <w:r>
        <w:t>1</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"_Toc82850573" </w:instrText>
      </w:r>
      <w:r>
        <w:fldChar w:fldCharType="separate"/>
      </w:r>
      <w:r>
        <w:rPr>
          <w:rStyle w:val="29"/>
        </w:rPr>
        <w:t>（一）党建工作稳步推进</w:t>
      </w:r>
      <w:r>
        <w:tab/>
      </w:r>
      <w:r>
        <w:fldChar w:fldCharType="begin"/>
      </w:r>
      <w:r>
        <w:instrText xml:space="preserve"> PAGEREF _Toc82850573 \h </w:instrText>
      </w:r>
      <w:r>
        <w:fldChar w:fldCharType="separate"/>
      </w:r>
      <w:r>
        <w:t>1</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"_Toc82850574" </w:instrText>
      </w:r>
      <w:r>
        <w:fldChar w:fldCharType="separate"/>
      </w:r>
      <w:r>
        <w:rPr>
          <w:rStyle w:val="29"/>
        </w:rPr>
        <w:t>（二）五育并举深入实施</w:t>
      </w:r>
      <w:r>
        <w:tab/>
      </w:r>
      <w:r>
        <w:fldChar w:fldCharType="begin"/>
      </w:r>
      <w:r>
        <w:instrText xml:space="preserve"> PAGEREF _Toc82850574 \h </w:instrText>
      </w:r>
      <w:r>
        <w:fldChar w:fldCharType="separate"/>
      </w:r>
      <w:r>
        <w:t>2</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"_Toc82850575" </w:instrText>
      </w:r>
      <w:r>
        <w:fldChar w:fldCharType="separate"/>
      </w:r>
      <w:r>
        <w:rPr>
          <w:rStyle w:val="29"/>
        </w:rPr>
        <w:t>（三）各级各类教育全面发展</w:t>
      </w:r>
      <w:r>
        <w:tab/>
      </w:r>
      <w:r>
        <w:fldChar w:fldCharType="begin"/>
      </w:r>
      <w:r>
        <w:instrText xml:space="preserve"> PAGEREF _Toc82850575 \h </w:instrText>
      </w:r>
      <w:r>
        <w:fldChar w:fldCharType="separate"/>
      </w:r>
      <w:r>
        <w:t>2</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"_Toc82850576" </w:instrText>
      </w:r>
      <w:r>
        <w:fldChar w:fldCharType="separate"/>
      </w:r>
      <w:r>
        <w:rPr>
          <w:rStyle w:val="29"/>
        </w:rPr>
        <w:t>（四）教育服务保障功能持续优化</w:t>
      </w:r>
      <w:r>
        <w:tab/>
      </w:r>
      <w:r>
        <w:fldChar w:fldCharType="begin"/>
      </w:r>
      <w:r>
        <w:instrText xml:space="preserve"> PAGEREF _Toc82850576 \h </w:instrText>
      </w:r>
      <w:r>
        <w:fldChar w:fldCharType="separate"/>
      </w:r>
      <w:r>
        <w:t>3</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"_Toc82850577" </w:instrText>
      </w:r>
      <w:r>
        <w:fldChar w:fldCharType="separate"/>
      </w:r>
      <w:r>
        <w:rPr>
          <w:rStyle w:val="29"/>
        </w:rPr>
        <w:t>（五）教师队伍素养能力不断提升</w:t>
      </w:r>
      <w:r>
        <w:tab/>
      </w:r>
      <w:r>
        <w:fldChar w:fldCharType="begin"/>
      </w:r>
      <w:r>
        <w:instrText xml:space="preserve"> PAGEREF _Toc82850577 \h </w:instrText>
      </w:r>
      <w:r>
        <w:fldChar w:fldCharType="separate"/>
      </w:r>
      <w:r>
        <w:t>4</w:t>
      </w:r>
      <w:r>
        <w:fldChar w:fldCharType="end"/>
      </w:r>
      <w:r>
        <w:fldChar w:fldCharType="end"/>
      </w:r>
    </w:p>
    <w:p>
      <w:pPr>
        <w:pStyle w:val="16"/>
        <w:tabs>
          <w:tab w:val="right" w:leader="dot" w:pos="8948"/>
        </w:tabs>
        <w:ind w:firstLine="482"/>
        <w:rPr>
          <w:rFonts w:asciiTheme="minorHAnsi" w:hAnsiTheme="minorHAnsi" w:eastAsiaTheme="minorEastAsia" w:cstheme="minorBidi"/>
          <w:b w:val="0"/>
          <w:bCs w:val="0"/>
          <w:iCs w:val="0"/>
          <w:kern w:val="2"/>
          <w:sz w:val="21"/>
          <w:szCs w:val="22"/>
        </w:rPr>
      </w:pPr>
      <w:r>
        <w:fldChar w:fldCharType="begin"/>
      </w:r>
      <w:r>
        <w:instrText xml:space="preserve"> HYPERLINK \l "_Toc82850578" </w:instrText>
      </w:r>
      <w:r>
        <w:fldChar w:fldCharType="separate"/>
      </w:r>
      <w:r>
        <w:rPr>
          <w:rStyle w:val="29"/>
        </w:rPr>
        <w:t>二、机遇挑战</w:t>
      </w:r>
      <w:r>
        <w:tab/>
      </w:r>
      <w:r>
        <w:fldChar w:fldCharType="begin"/>
      </w:r>
      <w:r>
        <w:instrText xml:space="preserve"> PAGEREF _Toc82850578 \h </w:instrText>
      </w:r>
      <w:r>
        <w:fldChar w:fldCharType="separate"/>
      </w:r>
      <w:r>
        <w:t>5</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"_Toc82850579" </w:instrText>
      </w:r>
      <w:r>
        <w:fldChar w:fldCharType="separate"/>
      </w:r>
      <w:r>
        <w:rPr>
          <w:rStyle w:val="29"/>
        </w:rPr>
        <w:t>（一）建设共同富裕特色区战略为教育发展提供新动能</w:t>
      </w:r>
      <w:r>
        <w:tab/>
      </w:r>
      <w:r>
        <w:fldChar w:fldCharType="begin"/>
      </w:r>
      <w:r>
        <w:instrText xml:space="preserve"> PAGEREF _Toc82850579 \h </w:instrText>
      </w:r>
      <w:r>
        <w:fldChar w:fldCharType="separate"/>
      </w:r>
      <w:r>
        <w:t>5</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"_Toc82850580" </w:instrText>
      </w:r>
      <w:r>
        <w:fldChar w:fldCharType="separate"/>
      </w:r>
      <w:r>
        <w:rPr>
          <w:rStyle w:val="29"/>
        </w:rPr>
        <w:t>（二）现代化健康美丽新城区建设为教育发展创造新机遇</w:t>
      </w:r>
      <w:r>
        <w:tab/>
      </w:r>
      <w:r>
        <w:fldChar w:fldCharType="begin"/>
      </w:r>
      <w:r>
        <w:instrText xml:space="preserve"> PAGEREF _Toc82850580 \h </w:instrText>
      </w:r>
      <w:r>
        <w:fldChar w:fldCharType="separate"/>
      </w:r>
      <w:r>
        <w:t>6</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"_Toc82850581" </w:instrText>
      </w:r>
      <w:r>
        <w:fldChar w:fldCharType="separate"/>
      </w:r>
      <w:r>
        <w:rPr>
          <w:rStyle w:val="29"/>
        </w:rPr>
        <w:t>（三）高水平实现教育现代化谋划为教育发展明确新路径</w:t>
      </w:r>
      <w:r>
        <w:tab/>
      </w:r>
      <w:r>
        <w:fldChar w:fldCharType="begin"/>
      </w:r>
      <w:r>
        <w:instrText xml:space="preserve"> PAGEREF _Toc82850581 \h </w:instrText>
      </w:r>
      <w:r>
        <w:fldChar w:fldCharType="separate"/>
      </w:r>
      <w:r>
        <w:t>6</w:t>
      </w:r>
      <w:r>
        <w:fldChar w:fldCharType="end"/>
      </w:r>
      <w:r>
        <w:fldChar w:fldCharType="end"/>
      </w:r>
    </w:p>
    <w:p>
      <w:pPr>
        <w:pStyle w:val="16"/>
        <w:tabs>
          <w:tab w:val="right" w:leader="dot" w:pos="8948"/>
        </w:tabs>
        <w:ind w:firstLine="482"/>
        <w:rPr>
          <w:rFonts w:asciiTheme="minorHAnsi" w:hAnsiTheme="minorHAnsi" w:eastAsiaTheme="minorEastAsia" w:cstheme="minorBidi"/>
          <w:b w:val="0"/>
          <w:bCs w:val="0"/>
          <w:iCs w:val="0"/>
          <w:kern w:val="2"/>
          <w:sz w:val="21"/>
          <w:szCs w:val="22"/>
        </w:rPr>
      </w:pPr>
      <w:r>
        <w:fldChar w:fldCharType="begin"/>
      </w:r>
      <w:r>
        <w:instrText xml:space="preserve"> HYPERLINK \l "_Toc82850582" </w:instrText>
      </w:r>
      <w:r>
        <w:fldChar w:fldCharType="separate"/>
      </w:r>
      <w:r>
        <w:rPr>
          <w:rStyle w:val="29"/>
        </w:rPr>
        <w:t>三、总体要求</w:t>
      </w:r>
      <w:r>
        <w:tab/>
      </w:r>
      <w:r>
        <w:fldChar w:fldCharType="begin"/>
      </w:r>
      <w:r>
        <w:instrText xml:space="preserve"> PAGEREF _Toc82850582 \h </w:instrText>
      </w:r>
      <w:r>
        <w:fldChar w:fldCharType="separate"/>
      </w:r>
      <w:r>
        <w:t>7</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"_Toc82850583" </w:instrText>
      </w:r>
      <w:r>
        <w:fldChar w:fldCharType="separate"/>
      </w:r>
      <w:r>
        <w:rPr>
          <w:rStyle w:val="29"/>
        </w:rPr>
        <w:t>（一）指导思想</w:t>
      </w:r>
      <w:r>
        <w:tab/>
      </w:r>
      <w:r>
        <w:fldChar w:fldCharType="begin"/>
      </w:r>
      <w:r>
        <w:instrText xml:space="preserve"> PAGEREF _Toc82850583 \h </w:instrText>
      </w:r>
      <w:r>
        <w:fldChar w:fldCharType="separate"/>
      </w:r>
      <w:r>
        <w:t>7</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"_Toc82850584" </w:instrText>
      </w:r>
      <w:r>
        <w:fldChar w:fldCharType="separate"/>
      </w:r>
      <w:r>
        <w:rPr>
          <w:rStyle w:val="29"/>
        </w:rPr>
        <w:t>（二）总体目标</w:t>
      </w:r>
      <w:r>
        <w:tab/>
      </w:r>
      <w:r>
        <w:fldChar w:fldCharType="begin"/>
      </w:r>
      <w:r>
        <w:instrText xml:space="preserve"> PAGEREF _Toc82850584 \h </w:instrText>
      </w:r>
      <w:r>
        <w:fldChar w:fldCharType="separate"/>
      </w:r>
      <w:r>
        <w:t>7</w:t>
      </w:r>
      <w:r>
        <w:fldChar w:fldCharType="end"/>
      </w:r>
      <w:r>
        <w:fldChar w:fldCharType="end"/>
      </w:r>
    </w:p>
    <w:p>
      <w:pPr>
        <w:pStyle w:val="16"/>
        <w:tabs>
          <w:tab w:val="right" w:leader="dot" w:pos="8948"/>
        </w:tabs>
        <w:ind w:firstLine="482"/>
        <w:rPr>
          <w:rFonts w:asciiTheme="minorHAnsi" w:hAnsiTheme="minorHAnsi" w:eastAsiaTheme="minorEastAsia" w:cstheme="minorBidi"/>
          <w:b w:val="0"/>
          <w:bCs w:val="0"/>
          <w:iCs w:val="0"/>
          <w:kern w:val="2"/>
          <w:sz w:val="21"/>
          <w:szCs w:val="22"/>
        </w:rPr>
      </w:pPr>
      <w:r>
        <w:fldChar w:fldCharType="begin"/>
      </w:r>
      <w:r>
        <w:instrText xml:space="preserve"> HYPERLINK \l "_Toc82850585" </w:instrText>
      </w:r>
      <w:r>
        <w:fldChar w:fldCharType="separate"/>
      </w:r>
      <w:r>
        <w:rPr>
          <w:rStyle w:val="29"/>
        </w:rPr>
        <w:t>四、主要任务</w:t>
      </w:r>
      <w:r>
        <w:tab/>
      </w:r>
      <w:r>
        <w:fldChar w:fldCharType="begin"/>
      </w:r>
      <w:r>
        <w:instrText xml:space="preserve"> PAGEREF _Toc82850585 \h </w:instrText>
      </w:r>
      <w:r>
        <w:fldChar w:fldCharType="separate"/>
      </w:r>
      <w:r>
        <w:t>9</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"_Toc82850586" </w:instrText>
      </w:r>
      <w:r>
        <w:fldChar w:fldCharType="separate"/>
      </w:r>
      <w:r>
        <w:rPr>
          <w:rStyle w:val="29"/>
        </w:rPr>
        <w:t>（一）加快学前教育优质普惠发展</w:t>
      </w:r>
      <w:r>
        <w:tab/>
      </w:r>
      <w:r>
        <w:fldChar w:fldCharType="begin"/>
      </w:r>
      <w:r>
        <w:instrText xml:space="preserve"> PAGEREF _Toc82850586 \h </w:instrText>
      </w:r>
      <w:r>
        <w:fldChar w:fldCharType="separate"/>
      </w:r>
      <w:r>
        <w:t>9</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"_Toc82850587" </w:instrText>
      </w:r>
      <w:r>
        <w:fldChar w:fldCharType="separate"/>
      </w:r>
      <w:r>
        <w:rPr>
          <w:rStyle w:val="29"/>
        </w:rPr>
        <w:t>（二）促进基础教育高质量发展</w:t>
      </w:r>
      <w:r>
        <w:tab/>
      </w:r>
      <w:r>
        <w:fldChar w:fldCharType="begin"/>
      </w:r>
      <w:r>
        <w:instrText xml:space="preserve"> PAGEREF _Toc82850587 \h </w:instrText>
      </w:r>
      <w:r>
        <w:fldChar w:fldCharType="separate"/>
      </w:r>
      <w:r>
        <w:t>10</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"_Toc82850588" </w:instrText>
      </w:r>
      <w:r>
        <w:fldChar w:fldCharType="separate"/>
      </w:r>
      <w:r>
        <w:rPr>
          <w:rStyle w:val="29"/>
        </w:rPr>
        <w:t>（三）推进职业教育高水平融合</w:t>
      </w:r>
      <w:r>
        <w:tab/>
      </w:r>
      <w:r>
        <w:fldChar w:fldCharType="begin"/>
      </w:r>
      <w:r>
        <w:instrText xml:space="preserve"> PAGEREF _Toc82850588 \h </w:instrText>
      </w:r>
      <w:r>
        <w:fldChar w:fldCharType="separate"/>
      </w:r>
      <w:r>
        <w:t>12</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"_Toc82850589" </w:instrText>
      </w:r>
      <w:r>
        <w:fldChar w:fldCharType="separate"/>
      </w:r>
      <w:r>
        <w:rPr>
          <w:rStyle w:val="29"/>
          <w:shd w:val="clear" w:color="auto" w:fill="FFFFFF"/>
          <w:lang w:bidi="ar"/>
        </w:rPr>
        <w:t>（四）推动终身教育工作迈上新台阶</w:t>
      </w:r>
      <w:r>
        <w:tab/>
      </w:r>
      <w:r>
        <w:fldChar w:fldCharType="begin"/>
      </w:r>
      <w:r>
        <w:instrText xml:space="preserve"> PAGEREF _Toc82850589 \h </w:instrText>
      </w:r>
      <w:r>
        <w:fldChar w:fldCharType="separate"/>
      </w:r>
      <w:r>
        <w:t>14</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"_Toc82850590" </w:instrText>
      </w:r>
      <w:r>
        <w:fldChar w:fldCharType="separate"/>
      </w:r>
      <w:r>
        <w:rPr>
          <w:rStyle w:val="29"/>
          <w:shd w:val="clear" w:color="auto" w:fill="FFFFFF"/>
          <w:lang w:bidi="ar"/>
        </w:rPr>
        <w:t>（五）打造高素质教师队伍</w:t>
      </w:r>
      <w:r>
        <w:tab/>
      </w:r>
      <w:r>
        <w:fldChar w:fldCharType="begin"/>
      </w:r>
      <w:r>
        <w:instrText xml:space="preserve"> PAGEREF _Toc82850590 \h </w:instrText>
      </w:r>
      <w:r>
        <w:fldChar w:fldCharType="separate"/>
      </w:r>
      <w:r>
        <w:t>16</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"_Toc82850591" </w:instrText>
      </w:r>
      <w:r>
        <w:fldChar w:fldCharType="separate"/>
      </w:r>
      <w:r>
        <w:rPr>
          <w:rStyle w:val="29"/>
        </w:rPr>
        <w:t>（六）推进教育数字化改革</w:t>
      </w:r>
      <w:r>
        <w:tab/>
      </w:r>
      <w:r>
        <w:fldChar w:fldCharType="begin"/>
      </w:r>
      <w:r>
        <w:instrText xml:space="preserve"> PAGEREF _Toc82850591 \h </w:instrText>
      </w:r>
      <w:r>
        <w:fldChar w:fldCharType="separate"/>
      </w:r>
      <w:r>
        <w:t>18</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"_Toc82850592" </w:instrText>
      </w:r>
      <w:r>
        <w:fldChar w:fldCharType="separate"/>
      </w:r>
      <w:r>
        <w:rPr>
          <w:rStyle w:val="29"/>
        </w:rPr>
        <w:t>（七）谋划教育治理现代化</w:t>
      </w:r>
      <w:r>
        <w:tab/>
      </w:r>
      <w:r>
        <w:fldChar w:fldCharType="begin"/>
      </w:r>
      <w:r>
        <w:instrText xml:space="preserve"> PAGEREF _Toc82850592 \h </w:instrText>
      </w:r>
      <w:r>
        <w:fldChar w:fldCharType="separate"/>
      </w:r>
      <w:r>
        <w:t>19</w:t>
      </w:r>
      <w:r>
        <w:fldChar w:fldCharType="end"/>
      </w:r>
      <w:r>
        <w:fldChar w:fldCharType="end"/>
      </w:r>
    </w:p>
    <w:p>
      <w:pPr>
        <w:pStyle w:val="16"/>
        <w:tabs>
          <w:tab w:val="right" w:leader="dot" w:pos="8948"/>
        </w:tabs>
        <w:ind w:firstLine="482"/>
        <w:rPr>
          <w:rFonts w:asciiTheme="minorHAnsi" w:hAnsiTheme="minorHAnsi" w:eastAsiaTheme="minorEastAsia" w:cstheme="minorBidi"/>
          <w:b w:val="0"/>
          <w:bCs w:val="0"/>
          <w:iCs w:val="0"/>
          <w:kern w:val="2"/>
          <w:sz w:val="21"/>
          <w:szCs w:val="22"/>
        </w:rPr>
      </w:pPr>
      <w:r>
        <w:fldChar w:fldCharType="begin"/>
      </w:r>
      <w:r>
        <w:instrText xml:space="preserve"> HYPERLINK \l "_Toc82850593" </w:instrText>
      </w:r>
      <w:r>
        <w:fldChar w:fldCharType="separate"/>
      </w:r>
      <w:r>
        <w:rPr>
          <w:rStyle w:val="29"/>
        </w:rPr>
        <w:t>五、保障措施</w:t>
      </w:r>
      <w:r>
        <w:tab/>
      </w:r>
      <w:r>
        <w:fldChar w:fldCharType="begin"/>
      </w:r>
      <w:r>
        <w:instrText xml:space="preserve"> PAGEREF _Toc82850593 \h </w:instrText>
      </w:r>
      <w:r>
        <w:fldChar w:fldCharType="separate"/>
      </w:r>
      <w:r>
        <w:t>21</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"_Toc82850594" </w:instrText>
      </w:r>
      <w:r>
        <w:fldChar w:fldCharType="separate"/>
      </w:r>
      <w:r>
        <w:rPr>
          <w:rStyle w:val="29"/>
        </w:rPr>
        <w:t>（一）组织保障</w:t>
      </w:r>
      <w:r>
        <w:tab/>
      </w:r>
      <w:r>
        <w:fldChar w:fldCharType="begin"/>
      </w:r>
      <w:r>
        <w:instrText xml:space="preserve"> PAGEREF _Toc82850594 \h </w:instrText>
      </w:r>
      <w:r>
        <w:fldChar w:fldCharType="separate"/>
      </w:r>
      <w:r>
        <w:t>21</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"_Toc82850595" </w:instrText>
      </w:r>
      <w:r>
        <w:fldChar w:fldCharType="separate"/>
      </w:r>
      <w:r>
        <w:rPr>
          <w:rStyle w:val="29"/>
        </w:rPr>
        <w:t>（二）制度保障</w:t>
      </w:r>
      <w:r>
        <w:tab/>
      </w:r>
      <w:r>
        <w:fldChar w:fldCharType="begin"/>
      </w:r>
      <w:r>
        <w:instrText xml:space="preserve"> PAGEREF _Toc82850595 \h </w:instrText>
      </w:r>
      <w:r>
        <w:fldChar w:fldCharType="separate"/>
      </w:r>
      <w:r>
        <w:t>22</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"_Toc82850596" </w:instrText>
      </w:r>
      <w:r>
        <w:fldChar w:fldCharType="separate"/>
      </w:r>
      <w:r>
        <w:rPr>
          <w:rStyle w:val="29"/>
        </w:rPr>
        <w:t>（三）经费保障</w:t>
      </w:r>
      <w:r>
        <w:tab/>
      </w:r>
      <w:r>
        <w:fldChar w:fldCharType="begin"/>
      </w:r>
      <w:r>
        <w:instrText xml:space="preserve"> PAGEREF _Toc82850596 \h </w:instrText>
      </w:r>
      <w:r>
        <w:fldChar w:fldCharType="separate"/>
      </w:r>
      <w:r>
        <w:t>22</w:t>
      </w:r>
      <w:r>
        <w:fldChar w:fldCharType="end"/>
      </w:r>
      <w:r>
        <w:fldChar w:fldCharType="end"/>
      </w:r>
    </w:p>
    <w:p>
      <w:pPr>
        <w:pStyle w:val="19"/>
        <w:tabs>
          <w:tab w:val="right" w:leader="dot" w:pos="8948"/>
        </w:tabs>
        <w:ind w:firstLine="440"/>
        <w:rPr>
          <w:rFonts w:asciiTheme="minorHAnsi" w:hAnsiTheme="minorHAnsi" w:eastAsiaTheme="minorEastAsia" w:cstheme="minorBidi"/>
          <w:bCs w:val="0"/>
          <w:kern w:val="2"/>
          <w:sz w:val="21"/>
        </w:rPr>
      </w:pPr>
      <w:r>
        <w:fldChar w:fldCharType="begin"/>
      </w:r>
      <w:r>
        <w:instrText xml:space="preserve"> HYPERLINK \l "_Toc82850597" </w:instrText>
      </w:r>
      <w:r>
        <w:fldChar w:fldCharType="separate"/>
      </w:r>
      <w:r>
        <w:rPr>
          <w:rStyle w:val="29"/>
        </w:rPr>
        <w:t>（四）督导保障</w:t>
      </w:r>
      <w:r>
        <w:tab/>
      </w:r>
      <w:r>
        <w:fldChar w:fldCharType="begin"/>
      </w:r>
      <w:r>
        <w:instrText xml:space="preserve"> PAGEREF _Toc82850597 \h </w:instrText>
      </w:r>
      <w:r>
        <w:fldChar w:fldCharType="separate"/>
      </w:r>
      <w:r>
        <w:t>23</w:t>
      </w:r>
      <w:r>
        <w:fldChar w:fldCharType="end"/>
      </w:r>
      <w:r>
        <w:fldChar w:fldCharType="end"/>
      </w:r>
    </w:p>
    <w:p>
      <w:pPr>
        <w:pStyle w:val="16"/>
        <w:tabs>
          <w:tab w:val="right" w:leader="dot" w:pos="8948"/>
        </w:tabs>
        <w:ind w:firstLine="482"/>
        <w:rPr>
          <w:rFonts w:asciiTheme="minorHAnsi" w:hAnsiTheme="minorHAnsi" w:eastAsiaTheme="minorEastAsia" w:cstheme="minorBidi"/>
          <w:b w:val="0"/>
          <w:bCs w:val="0"/>
          <w:iCs w:val="0"/>
          <w:kern w:val="2"/>
          <w:sz w:val="21"/>
          <w:szCs w:val="22"/>
        </w:rPr>
      </w:pPr>
      <w:r>
        <w:fldChar w:fldCharType="begin"/>
      </w:r>
      <w:r>
        <w:instrText xml:space="preserve"> HYPERLINK \l "_Toc82850598" </w:instrText>
      </w:r>
      <w:r>
        <w:fldChar w:fldCharType="separate"/>
      </w:r>
      <w:r>
        <w:rPr>
          <w:rStyle w:val="29"/>
        </w:rPr>
        <w:t>附件 宁波市奉化区“十四五”教育规划重大建设项目汇总表</w:t>
      </w:r>
      <w:r>
        <w:tab/>
      </w:r>
      <w:r>
        <w:fldChar w:fldCharType="begin"/>
      </w:r>
      <w:r>
        <w:instrText xml:space="preserve"> PAGEREF _Toc82850598 \h </w:instrText>
      </w:r>
      <w:r>
        <w:fldChar w:fldCharType="separate"/>
      </w:r>
      <w:r>
        <w:t>24</w:t>
      </w:r>
      <w:r>
        <w:fldChar w:fldCharType="end"/>
      </w:r>
      <w:r>
        <w:fldChar w:fldCharType="end"/>
      </w:r>
    </w:p>
    <w:p>
      <w:pPr>
        <w:sectPr>
          <w:headerReference r:id="rId4" w:type="first"/>
          <w:footerReference r:id="rId7" w:type="first"/>
          <w:footerReference r:id="rId5" w:type="default"/>
          <w:headerReference r:id="rId3" w:type="even"/>
          <w:footerReference r:id="rId6" w:type="even"/>
          <w:pgSz w:w="11906" w:h="16838"/>
          <w:pgMar w:top="1531" w:right="1361" w:bottom="1531" w:left="1587" w:header="851" w:footer="992" w:gutter="0"/>
          <w:pgNumType w:start="1"/>
          <w:cols w:space="425" w:num="1"/>
          <w:docGrid w:type="lines" w:linePitch="312" w:charSpace="0"/>
        </w:sectPr>
      </w:pPr>
      <w:r>
        <w:fldChar w:fldCharType="end"/>
      </w:r>
    </w:p>
    <w:p>
      <w:pPr>
        <w:ind w:firstLine="0" w:firstLineChars="0"/>
      </w:pPr>
    </w:p>
    <w:p>
      <w:pPr>
        <w:ind w:firstLine="0" w:firstLineChars="0"/>
        <w:jc w:val="center"/>
        <w:rPr>
          <w:rFonts w:eastAsia="黑体"/>
          <w:sz w:val="44"/>
          <w:szCs w:val="44"/>
        </w:rPr>
      </w:pPr>
      <w:bookmarkStart w:id="18" w:name="_Toc22031"/>
      <w:bookmarkStart w:id="19" w:name="_Toc66825155"/>
      <w:bookmarkStart w:id="20" w:name="_Toc4448"/>
      <w:bookmarkStart w:id="21" w:name="_Toc12370"/>
      <w:r>
        <w:rPr>
          <w:rFonts w:hint="eastAsia" w:eastAsia="黑体"/>
          <w:sz w:val="44"/>
          <w:szCs w:val="44"/>
        </w:rPr>
        <w:t>宁波市奉化区教育事业发展“十四五”规划</w:t>
      </w:r>
      <w:bookmarkEnd w:id="0"/>
      <w:bookmarkEnd w:id="1"/>
      <w:bookmarkEnd w:id="2"/>
      <w:bookmarkEnd w:id="3"/>
      <w:bookmarkEnd w:id="4"/>
      <w:bookmarkEnd w:id="5"/>
      <w:bookmarkEnd w:id="6"/>
      <w:bookmarkEnd w:id="7"/>
      <w:bookmarkEnd w:id="8"/>
      <w:bookmarkEnd w:id="9"/>
      <w:bookmarkEnd w:id="10"/>
      <w:bookmarkEnd w:id="11"/>
      <w:bookmarkEnd w:id="12"/>
      <w:bookmarkEnd w:id="18"/>
      <w:bookmarkEnd w:id="19"/>
      <w:bookmarkEnd w:id="20"/>
      <w:bookmarkEnd w:id="21"/>
    </w:p>
    <w:bookmarkEnd w:id="13"/>
    <w:p>
      <w:pPr>
        <w:pStyle w:val="12"/>
        <w:ind w:left="640"/>
      </w:pPr>
      <w:r>
        <w:rPr>
          <w:rFonts w:hint="eastAsia"/>
        </w:rPr>
        <w:t xml:space="preserve">          </w:t>
      </w:r>
      <w:r>
        <w:rPr>
          <w:rFonts w:hint="eastAsia" w:eastAsia="楷体_GB2312" w:cs="楷体_GB2312"/>
        </w:rPr>
        <w:t xml:space="preserve">   （征求意见稿）</w:t>
      </w:r>
    </w:p>
    <w:p>
      <w:pPr>
        <w:pStyle w:val="12"/>
        <w:ind w:left="640"/>
      </w:pPr>
    </w:p>
    <w:p>
      <w:r>
        <w:t>为全面落实《浙江教育现代化2035行动纲要》和《加快推进浙江教育现代化实施方案》，加快推进教育现代化，根据《</w:t>
      </w:r>
      <w:r>
        <w:rPr>
          <w:rFonts w:hint="eastAsia"/>
        </w:rPr>
        <w:t>浙江省</w:t>
      </w:r>
      <w:r>
        <w:t>教育</w:t>
      </w:r>
      <w:r>
        <w:rPr>
          <w:rFonts w:hint="eastAsia"/>
        </w:rPr>
        <w:t>事业</w:t>
      </w:r>
      <w:r>
        <w:t>发展“十四五”规划》《宁波市奉化区国民经济和社会发展第十四个五年规划和二〇三五年远景目标纲要》，制定本规划。</w:t>
      </w:r>
      <w:bookmarkStart w:id="22" w:name="_Toc20509"/>
      <w:bookmarkStart w:id="23" w:name="_Toc17838"/>
      <w:bookmarkStart w:id="24" w:name="_Toc24976"/>
      <w:bookmarkStart w:id="25" w:name="_Toc289"/>
      <w:bookmarkStart w:id="26" w:name="_Toc18053"/>
    </w:p>
    <w:p>
      <w:pPr>
        <w:pStyle w:val="3"/>
      </w:pPr>
      <w:bookmarkStart w:id="27" w:name="_Toc82850572"/>
      <w:bookmarkStart w:id="28" w:name="_Toc22896"/>
      <w:bookmarkStart w:id="29" w:name="_Toc66825156"/>
      <w:bookmarkStart w:id="30" w:name="_Toc25594"/>
      <w:r>
        <w:rPr>
          <w:rFonts w:hint="eastAsia"/>
        </w:rPr>
        <w:t>一、发展现状</w:t>
      </w:r>
      <w:bookmarkEnd w:id="27"/>
      <w:bookmarkEnd w:id="28"/>
      <w:bookmarkEnd w:id="29"/>
      <w:bookmarkEnd w:id="30"/>
    </w:p>
    <w:p>
      <w:bookmarkStart w:id="31" w:name="_Toc63878547"/>
      <w:bookmarkStart w:id="32" w:name="_Toc63879873"/>
      <w:r>
        <w:rPr>
          <w:rFonts w:hint="eastAsia"/>
        </w:rPr>
        <w:t>“十三五”期间，奉化区</w:t>
      </w:r>
      <w:bookmarkEnd w:id="22"/>
      <w:bookmarkEnd w:id="23"/>
      <w:bookmarkEnd w:id="24"/>
      <w:bookmarkEnd w:id="25"/>
      <w:bookmarkEnd w:id="26"/>
      <w:r>
        <w:rPr>
          <w:rFonts w:hint="eastAsia"/>
        </w:rPr>
        <w:t>始终坚持把教育放在优先发展的位置，以“让奉化学生享受与宁波主城区基本同等教育水平”为目标定位，紧紧围绕高质量推进教育现代化目标，服务奉化迈向现代化健康美丽新城区，</w:t>
      </w:r>
      <w:r>
        <w:t>实现了</w:t>
      </w:r>
      <w:r>
        <w:rPr>
          <w:rFonts w:hint="eastAsia"/>
        </w:rPr>
        <w:t>“</w:t>
      </w:r>
      <w:r>
        <w:t>两个率先</w:t>
      </w:r>
      <w:r>
        <w:rPr>
          <w:rFonts w:hint="eastAsia"/>
        </w:rPr>
        <w:t>”“</w:t>
      </w:r>
      <w:r>
        <w:t>一个同城</w:t>
      </w:r>
      <w:r>
        <w:rPr>
          <w:rFonts w:hint="eastAsia"/>
        </w:rPr>
        <w:t>”，</w:t>
      </w:r>
      <w:r>
        <w:t>创建成为</w:t>
      </w:r>
      <w:r>
        <w:rPr>
          <w:rFonts w:hint="eastAsia"/>
        </w:rPr>
        <w:t>“</w:t>
      </w:r>
      <w:r>
        <w:t>省教育基本现代化区</w:t>
      </w:r>
      <w:r>
        <w:rPr>
          <w:rFonts w:hint="eastAsia"/>
        </w:rPr>
        <w:t>”，全区教育事业取得了长足进步。</w:t>
      </w:r>
      <w:bookmarkEnd w:id="31"/>
      <w:bookmarkEnd w:id="32"/>
    </w:p>
    <w:p>
      <w:pPr>
        <w:pStyle w:val="4"/>
        <w:ind w:firstLine="640"/>
      </w:pPr>
      <w:bookmarkStart w:id="33" w:name="_Toc82850573"/>
      <w:bookmarkStart w:id="34" w:name="_Toc25424"/>
      <w:bookmarkStart w:id="35" w:name="_Toc15411"/>
      <w:bookmarkStart w:id="36" w:name="_Toc66825157"/>
      <w:r>
        <w:rPr>
          <w:rFonts w:hint="eastAsia"/>
        </w:rPr>
        <w:t>（一）党建工作稳步推进</w:t>
      </w:r>
      <w:bookmarkEnd w:id="33"/>
      <w:bookmarkEnd w:id="34"/>
      <w:bookmarkEnd w:id="35"/>
      <w:bookmarkEnd w:id="36"/>
    </w:p>
    <w:p>
      <w:r>
        <w:rPr>
          <w:rFonts w:hint="eastAsia"/>
        </w:rPr>
        <w:t>教育系统各级党组织把贯彻习近平总书记系列重要讲话精神特别是关于教育的重要论述作为推进教育现代化工作的“主心骨”和“定盘星”。建立健全机关“周二夜学”、学校“周一夜学”制度，全系统通过“线上+线下”“党课+微讲台”等创新载体，组织集中交流研讨、革命传统教育、先进典型宣讲等学习活动900多场，参与学习党员近12万人次，落实问题整改7400多个。开展党组织领导下的校长负责制试点，组建城乡学校党建联合体9个、跨校“领航学科”党小组20个，落实“党建亮显工程”。建立覆盖系统各领域、全过程的廉洁制度体系，出台相关制度26个，固定资产二维码标签管理、学校食堂原辅材料统一配送工作实现全覆盖。开展基层学校作风巡察，完成52家学校（单位）巡察工作，落实整改措施607项。创建“廉洁教育示范学校”6家，全区中小学开设各类廉洁课程59门，建成校园廉洁文化场景190多处，依托社会打造学生廉洁教育活动基地3个。</w:t>
      </w:r>
    </w:p>
    <w:p>
      <w:pPr>
        <w:pStyle w:val="4"/>
        <w:ind w:firstLine="640"/>
      </w:pPr>
      <w:bookmarkStart w:id="37" w:name="_Toc66825158"/>
      <w:bookmarkStart w:id="38" w:name="_Toc263"/>
      <w:bookmarkStart w:id="39" w:name="_Toc2064"/>
      <w:bookmarkStart w:id="40" w:name="_Toc82850574"/>
      <w:r>
        <w:rPr>
          <w:rFonts w:hint="eastAsia"/>
        </w:rPr>
        <w:t>（二）五育并举</w:t>
      </w:r>
      <w:bookmarkEnd w:id="37"/>
      <w:bookmarkEnd w:id="38"/>
      <w:bookmarkEnd w:id="39"/>
      <w:r>
        <w:rPr>
          <w:rFonts w:hint="eastAsia"/>
        </w:rPr>
        <w:t>深入实施</w:t>
      </w:r>
      <w:bookmarkEnd w:id="40"/>
    </w:p>
    <w:p>
      <w:r>
        <w:rPr>
          <w:rFonts w:hint="eastAsia"/>
        </w:rPr>
        <w:t xml:space="preserve"> 全面落实立德树人根本任务，素质教育切实加强。教育督导体制不断完善，学校发展性评价实现各学段全覆盖，提质减负工作成效明显，出台减负工作实施方案，义务段学生综合素质评价体系初步建成。广泛开设德育课堂，每年组织各类专题教育活动10个以上，所有学校建成区级文明校园，获评市文明校园21所，入选省首批文明校园1所，公办中小学省标准化心辅室全部建成，10所学校通过省级心理健康示范点验收。全区普高学生在市级及以上文化课学科竞赛中获奖1651人次，其中国家级一等奖22人次。三大球、射击、网球、毽球、武术等10多个体育项目在市级以上比赛中摘金夺银，最新公布的全省高校新生体质健康测试总成绩合格率、优良率均列全市第1位，其中合格率进入全省第6位。建成非遗文化传播基地20个，开设相关课程30余门，市级及以上学生文艺竞赛获奖1100余人次，全市音乐、美术抽测成绩优异，2次列全市首位。建成省劳动教育实践基地2个，劳动教育示范学校省级4所、市级4所、区级13所，打造奉化博物馆等青少年研学基地10个。</w:t>
      </w:r>
    </w:p>
    <w:p>
      <w:pPr>
        <w:pStyle w:val="4"/>
        <w:ind w:firstLine="640"/>
      </w:pPr>
      <w:bookmarkStart w:id="41" w:name="_Toc5343"/>
      <w:bookmarkStart w:id="42" w:name="_Toc22774"/>
      <w:bookmarkStart w:id="43" w:name="_Toc66825159"/>
      <w:bookmarkStart w:id="44" w:name="_Toc82850575"/>
      <w:r>
        <w:rPr>
          <w:rFonts w:hint="eastAsia"/>
        </w:rPr>
        <w:t>（三）各级各类教育全面发展</w:t>
      </w:r>
      <w:bookmarkEnd w:id="41"/>
      <w:bookmarkEnd w:id="42"/>
      <w:bookmarkEnd w:id="43"/>
      <w:bookmarkEnd w:id="44"/>
    </w:p>
    <w:p>
      <w:r>
        <w:rPr>
          <w:rFonts w:hint="eastAsia"/>
        </w:rPr>
        <w:t>公办园在园幼儿占比提升20.4%，普惠性幼儿园招生覆盖率达到94.3%，省等级幼儿园招生覆盖率达到100%，与浙师大杭州幼儿师范学院开展推进学前教育现代化战略合作，3家幼儿园入选宁波市首批课改样本园，5个项目入选宁波市课改行动研究重点项目，全区幼儿教师持证率突破98%。启动“国家义务教育优质均衡区”创建前期工作，完成2轮“一校一策”整改工作，撤并小规模完小（教学点）6个，启动实施“小学强基”“初中强校”双强工程，组建9个教育共同体，中考总体成绩与先进区县市差距呈明显缩小态势。建成普高“学科教室”“创新实验室”74个，建设市级精品课程96门、省级精品课程27门，启动实施“普高攻坚计划”，聚焦核心问题全力突破教育质量不高问题。完成职业教育学校布局及专业结构优化工作，撤并旅游学校，组建工贸旅游学校，建成国家级实习实训基地1个、省级实习实训基地3个、省级示范专业4个、市重点发展专业1个、区级生产实训基地和校企合作共同体4个。首获全民终身学习活动周国家级优秀组织奖，建成省现代化成人学校3所、市级特色示范成校10所，全区“一镇一品”“一校一特”格局基本成型。镇（街道）社区老年大学实现全覆盖，新增市级标准化社区老年大学6所，开设老年教育班400多个。顺利完成第二轮特殊教育提升计划，培智学校新校区投入使用，建成资源教室24个（市级示范资源教室7个）、送教上门示范点2个。</w:t>
      </w:r>
    </w:p>
    <w:p>
      <w:pPr>
        <w:pStyle w:val="4"/>
        <w:ind w:firstLine="640"/>
      </w:pPr>
      <w:bookmarkStart w:id="45" w:name="_Toc30028"/>
      <w:bookmarkStart w:id="46" w:name="_Toc82850576"/>
      <w:bookmarkStart w:id="47" w:name="_Toc29313"/>
      <w:bookmarkStart w:id="48" w:name="_Toc66825160"/>
      <w:r>
        <w:rPr>
          <w:rFonts w:hint="eastAsia"/>
        </w:rPr>
        <w:t>（四）教育服务保障功能持续优化</w:t>
      </w:r>
      <w:bookmarkEnd w:id="45"/>
      <w:bookmarkEnd w:id="46"/>
      <w:bookmarkEnd w:id="47"/>
      <w:bookmarkEnd w:id="48"/>
    </w:p>
    <w:p>
      <w:r>
        <w:rPr>
          <w:rFonts w:hint="eastAsia"/>
        </w:rPr>
        <w:t>群众“关键小事”得到有效解决，破解家长“四点钟难题”，小学放学后校内托管服务实现全覆盖，校外培训机构专项治理成效明显，成立日常巡查监管中心，开展联合执法行动50余次，建立行业治理体系和“白名单制度”“登记备案制度”“信用管理制度”“诚信办学星级评估制度”等长效机制。社区教育进文化礼堂覆盖率达到80.3%，开展文化礼堂活动场次1000余场，参与活动近51000人次。教育“最多跑一次”改革落实落地，启用“学在奉化”办事指南，网上招生平台实现浙江政务服务网“一网通”，城区公办园招生首次划定招生区域，扎实推进“互联网+义务教育”民生实事工程，结对学校14所，乡村学校受授面达到100%，新建12个新型教学空间，开展城乡同步课堂500多次，参与师生数25000多人次。校园安全稳定保障到位，阳光厨房建成率达到100%，品牌超市入校率近95%，投入1200万元建成校园智能安防体系，幼儿园伙食质量提升行动广受好评。筑牢校园疫情防线，全系统上下齐心实现校园疫情零发生、复学工作全面有序目标。全区一般公共预算教育经费年平均增长近10%，教师年平均工资待遇提高8.6万元，累计落实资金近20亿元，新改扩建学校（幼儿园）33所。</w:t>
      </w:r>
    </w:p>
    <w:p>
      <w:pPr>
        <w:pStyle w:val="4"/>
        <w:ind w:firstLine="640"/>
      </w:pPr>
      <w:bookmarkStart w:id="49" w:name="_Toc25627"/>
      <w:bookmarkStart w:id="50" w:name="_Toc66825161"/>
      <w:bookmarkStart w:id="51" w:name="_Toc82850577"/>
      <w:bookmarkStart w:id="52" w:name="_Toc30551"/>
      <w:r>
        <w:rPr>
          <w:rFonts w:hint="eastAsia"/>
        </w:rPr>
        <w:t>（五）教师队伍素养能力不断提升</w:t>
      </w:r>
      <w:bookmarkEnd w:id="49"/>
      <w:bookmarkEnd w:id="50"/>
      <w:bookmarkEnd w:id="51"/>
      <w:bookmarkEnd w:id="52"/>
    </w:p>
    <w:p>
      <w:r>
        <w:rPr>
          <w:rFonts w:hint="eastAsia"/>
        </w:rPr>
        <w:t>教师队伍结构显著优化，“区管校聘”改革顺利落地，780余名教师实现城乡校际间合理流动。明确教职工编制及教师周课时量标准，编外用工工作走上正轨，新招聘小学教师全日制本科、学前教育教师全日制大专比例首次达到100%，研究生比例提升7倍，先后启动新教师顶岗培养计划、教师定向培养招生工作、青年教师“一二三奠基行动”。人才队伍量质齐驱，开展“高端工程”“后备人才工程”“阳光工程”等专项培训，新增正高级教师5人、省特级教师6人、市级名优骨干教师（校长）47人，增量列全市同期前茅、创全区环比新高，评选区级名优骨干教师189名，考核机制得到进一步健全，打破名优骨干教师评定“终身制”。潜心育人氛围浓厚，尊师重教社会风尚进一步形成，教师平均工资收入五年中实现翻番，非义务段教师待遇补差工作在全市区县市中首个完成。建立区级层面教师荣誉清单，设立“叶氏育人基金”，2年来共表彰各类优秀教师200余人。深入开展“师德师风大整治”活动，实施“教师初心”工程，组织“正风肃纪”专项行动30余次，处理违规违纪教师20多人，全区教师师德师风面貌焕然一新。</w:t>
      </w:r>
    </w:p>
    <w:p>
      <w:pPr>
        <w:rPr>
          <w:color w:val="000000" w:themeColor="text1"/>
          <w14:textFill>
            <w14:solidFill>
              <w14:schemeClr w14:val="tx1"/>
            </w14:solidFill>
          </w14:textFill>
        </w:rPr>
      </w:pPr>
      <w:bookmarkStart w:id="53" w:name="_Toc1585"/>
      <w:r>
        <w:rPr>
          <w:rFonts w:hint="eastAsia"/>
        </w:rPr>
        <w:t>“十四五”期间，奉化教育发展面临着一些亟待突破的困难和问题：</w:t>
      </w:r>
      <w:r>
        <w:rPr>
          <w:rFonts w:hint="eastAsia"/>
          <w:b/>
          <w:bCs/>
        </w:rPr>
        <w:t>一是教育治理能力亟待提升。</w:t>
      </w:r>
      <w:r>
        <w:rPr>
          <w:rFonts w:hint="eastAsia"/>
        </w:rPr>
        <w:t>在推进意识形态、依法治教、管理效能、收入分配等工作中须出更多新招实招；学校内涵建设有待加强，办学理念不够清晰，办学效益还不够高，校园特色文化品牌打造需要持续发力。</w:t>
      </w:r>
      <w:r>
        <w:rPr>
          <w:rFonts w:hint="eastAsia"/>
          <w:b/>
          <w:bCs/>
        </w:rPr>
        <w:t>二是优质教育资源供给有待进一步扩容。</w:t>
      </w:r>
      <w:r>
        <w:rPr>
          <w:rFonts w:hint="eastAsia"/>
        </w:rPr>
        <w:t>教育要素配置仍需不断优化，教育资源布局仍待继续完善，整体教育教学质量仍有较大短板，基本教育公共服务与人民群众期待还有差距。</w:t>
      </w:r>
      <w:r>
        <w:rPr>
          <w:rFonts w:hint="eastAsia"/>
          <w:b/>
          <w:bCs/>
        </w:rPr>
        <w:t>三是教师队伍建设需要持续发力。</w:t>
      </w:r>
      <w:r>
        <w:rPr>
          <w:rFonts w:hint="eastAsia"/>
        </w:rPr>
        <w:t>师德师风不正现象还在一定程度上存在，编制配备不平衡，教师年龄结构、学科结构、层次结构都有待进一步优化</w:t>
      </w:r>
      <w:bookmarkStart w:id="54" w:name="_Toc13930"/>
      <w:bookmarkStart w:id="55" w:name="_Toc21461"/>
      <w:bookmarkStart w:id="56" w:name="_Toc17788"/>
      <w:bookmarkStart w:id="57" w:name="_Toc6831"/>
      <w:r>
        <w:rPr>
          <w:rFonts w:hint="eastAsia"/>
          <w:color w:val="000000" w:themeColor="text1"/>
          <w14:textFill>
            <w14:solidFill>
              <w14:schemeClr w14:val="tx1"/>
            </w14:solidFill>
          </w14:textFill>
        </w:rPr>
        <w:t>。</w:t>
      </w:r>
    </w:p>
    <w:p>
      <w:pPr>
        <w:pStyle w:val="3"/>
      </w:pPr>
      <w:bookmarkStart w:id="58" w:name="_Toc82850578"/>
      <w:bookmarkStart w:id="59" w:name="_Toc25003"/>
      <w:bookmarkStart w:id="60" w:name="_Toc66825162"/>
      <w:bookmarkStart w:id="61" w:name="_Toc27593"/>
      <w:r>
        <w:rPr>
          <w:rFonts w:hint="eastAsia"/>
        </w:rPr>
        <w:t>二、</w:t>
      </w:r>
      <w:bookmarkEnd w:id="53"/>
      <w:bookmarkEnd w:id="54"/>
      <w:bookmarkEnd w:id="55"/>
      <w:bookmarkEnd w:id="56"/>
      <w:bookmarkEnd w:id="57"/>
      <w:r>
        <w:rPr>
          <w:rFonts w:hint="eastAsia"/>
        </w:rPr>
        <w:t>机遇挑战</w:t>
      </w:r>
      <w:bookmarkEnd w:id="58"/>
      <w:bookmarkEnd w:id="59"/>
      <w:bookmarkEnd w:id="60"/>
      <w:bookmarkEnd w:id="61"/>
    </w:p>
    <w:p>
      <w:pPr>
        <w:pStyle w:val="4"/>
        <w:ind w:firstLine="640"/>
      </w:pPr>
      <w:bookmarkStart w:id="62" w:name="_Toc82850579"/>
      <w:bookmarkStart w:id="63" w:name="_Toc22483"/>
      <w:bookmarkStart w:id="64" w:name="_Toc12301"/>
      <w:bookmarkStart w:id="65" w:name="_Toc20965"/>
      <w:bookmarkStart w:id="66" w:name="_Toc31935"/>
      <w:bookmarkStart w:id="67" w:name="_Toc22813"/>
      <w:r>
        <w:rPr>
          <w:rFonts w:hint="eastAsia"/>
        </w:rPr>
        <w:t>（一）建设共同富裕特色区战略为教育发展提供新动能</w:t>
      </w:r>
      <w:bookmarkEnd w:id="62"/>
    </w:p>
    <w:p>
      <w:r>
        <w:rPr>
          <w:rFonts w:hint="eastAsia"/>
        </w:rPr>
        <w:t>建设共同富裕特色区，比以往任何时候都更加需要强有力的人才智力支撑，更加需要大批高素质劳动者，更加需要低负优质的教育服务。全面提升教育现代化水平是实现共同富裕美好社会的根本之策、长远之举，推进共同富裕建设和打造高质量教育体系两者互为支撑、互促互进，必将充分释放“化学反应”“乘数效应”。今后五年，力争在国家义务教育优质均衡区、全国学前教育普及普惠区等重要创建工作中走在前头，在教育现代化发展水平排位、教育工作目标管理考核位次等上有新突破，在落实中央“双减”政策、完善教育评价体系、义务教育共同体建设、普高分类办学特色发展、中国特色学徒制高质量职业教育体系建设等教育改革重要领域做出表率。</w:t>
      </w:r>
    </w:p>
    <w:p>
      <w:pPr>
        <w:pStyle w:val="4"/>
        <w:ind w:firstLine="640"/>
      </w:pPr>
      <w:bookmarkStart w:id="68" w:name="_Toc82850580"/>
      <w:r>
        <w:rPr>
          <w:rFonts w:hint="eastAsia"/>
        </w:rPr>
        <w:t>（二）现代化健康美丽新城区建设为教育发展创造新机遇</w:t>
      </w:r>
      <w:bookmarkEnd w:id="68"/>
    </w:p>
    <w:p>
      <w:r>
        <w:rPr>
          <w:rFonts w:hint="eastAsia"/>
        </w:rPr>
        <w:t>区委一届九次全体（扩大）会议明确提出要以“最美最好”为主题，以“跨越发展”为主线，大力实施“全面创新、全域美丽”发展策略，努力在现代化健康美丽新城区建设上迈出更大步伐，成为宁波社会主义现代化先行市的“一极四区”。今后五年，以“奋力打造‘全域美丽’最美教育样板”为目标——打造更美教育生态，引导全社会形成更加重视教育、关心教育、理解教育、支持教育的良好氛围；打造更美校园风貌，构筑硬件设施更优、文化氛围更浓、教师素养更高的美丽校园新格局；打造更美优质品牌，努力建设家长不焦虑、群众交口赞、社会口碑好的一流奉化教育；打造更美民生服务，实施强有力的教育惠民措施，不断破解群众反映强烈的热点问题。</w:t>
      </w:r>
    </w:p>
    <w:p>
      <w:pPr>
        <w:pStyle w:val="4"/>
        <w:ind w:firstLine="640"/>
      </w:pPr>
      <w:bookmarkStart w:id="69" w:name="_Toc82850581"/>
      <w:r>
        <w:rPr>
          <w:rFonts w:hint="eastAsia"/>
        </w:rPr>
        <w:t>（三）高水平实现教育现代化谋划为教育发展明确新路径</w:t>
      </w:r>
      <w:bookmarkEnd w:id="69"/>
    </w:p>
    <w:p>
      <w:r>
        <w:rPr>
          <w:rFonts w:hint="eastAsia"/>
        </w:rPr>
        <w:t>根据全省教育现代化进程和区委区政府决策部署，坚定不移沿着“高水平实现奉化教育现代化”路子走下去，为教育事业在奉化区“全面创新、全域美丽”发展新征程上走在前列而努力奋斗。我区落实现代化教育发展战略进程中面临优质资源不能满足需求，体现开放、包容、创新、卓越的学校内涵发展、特色发展的多元化发展格局还没有真正形成，须加快缩小区域、城乡、校际的发展差距，进一步统筹协调相关部门完善我区中小学、幼儿园布局规划，扩大优质教育资源向农村辐射，提高各类教育发展的协调性，为我区教育现代化发展奠定坚实基础。</w:t>
      </w:r>
    </w:p>
    <w:p>
      <w:pPr>
        <w:pStyle w:val="3"/>
      </w:pPr>
      <w:bookmarkStart w:id="70" w:name="_Toc66825164"/>
      <w:bookmarkStart w:id="71" w:name="_Toc29089"/>
      <w:bookmarkStart w:id="72" w:name="_Toc12533"/>
      <w:bookmarkStart w:id="73" w:name="_Toc82850582"/>
      <w:r>
        <w:rPr>
          <w:rFonts w:hint="eastAsia"/>
        </w:rPr>
        <w:t>三、</w:t>
      </w:r>
      <w:bookmarkEnd w:id="63"/>
      <w:bookmarkEnd w:id="64"/>
      <w:bookmarkEnd w:id="65"/>
      <w:bookmarkEnd w:id="66"/>
      <w:bookmarkEnd w:id="67"/>
      <w:bookmarkEnd w:id="70"/>
      <w:bookmarkEnd w:id="71"/>
      <w:bookmarkEnd w:id="72"/>
      <w:r>
        <w:rPr>
          <w:rFonts w:hint="eastAsia"/>
        </w:rPr>
        <w:t>总体要求</w:t>
      </w:r>
      <w:bookmarkEnd w:id="73"/>
    </w:p>
    <w:p>
      <w:pPr>
        <w:pStyle w:val="4"/>
        <w:ind w:firstLine="640"/>
      </w:pPr>
      <w:bookmarkStart w:id="74" w:name="_Toc4543"/>
      <w:bookmarkStart w:id="75" w:name="_Toc6838"/>
      <w:bookmarkStart w:id="76" w:name="_Toc23581"/>
      <w:bookmarkStart w:id="77" w:name="_Toc27499"/>
      <w:bookmarkStart w:id="78" w:name="_Toc2306"/>
      <w:bookmarkStart w:id="79" w:name="_Toc66825165"/>
      <w:bookmarkStart w:id="80" w:name="_Toc10854"/>
      <w:bookmarkStart w:id="81" w:name="_Toc12973"/>
      <w:bookmarkStart w:id="82" w:name="_Toc82850583"/>
      <w:r>
        <w:rPr>
          <w:rFonts w:hint="eastAsia"/>
        </w:rPr>
        <w:t>（一）指导思想</w:t>
      </w:r>
      <w:bookmarkEnd w:id="74"/>
      <w:bookmarkEnd w:id="75"/>
      <w:bookmarkEnd w:id="76"/>
      <w:bookmarkEnd w:id="77"/>
      <w:bookmarkEnd w:id="78"/>
      <w:bookmarkEnd w:id="79"/>
      <w:bookmarkEnd w:id="80"/>
      <w:bookmarkEnd w:id="81"/>
      <w:bookmarkEnd w:id="82"/>
    </w:p>
    <w:p>
      <w:r>
        <w:rPr>
          <w:rFonts w:hint="eastAsia"/>
        </w:rPr>
        <w:t>坚持以习近平新时代中国特色社会主义思想为指导，全面贯彻落实党的十九大精神以及习近平总书记关于教育的重要论述，立足新发展阶段，贯彻新发展理念，构建新发展格局，以高质量发展为主题，对标对表奋力争做“重要窗口”十大领域模范生具体内涵，</w:t>
      </w:r>
      <w:bookmarkStart w:id="83" w:name="_Toc8708"/>
      <w:bookmarkStart w:id="84" w:name="_Toc12116"/>
      <w:bookmarkStart w:id="85" w:name="_Toc23222"/>
      <w:bookmarkStart w:id="86" w:name="_Toc1507"/>
      <w:bookmarkStart w:id="87" w:name="_Toc16981"/>
      <w:r>
        <w:rPr>
          <w:rFonts w:hint="eastAsia"/>
          <w:color w:val="000000"/>
        </w:rPr>
        <w:t>全面贯彻党的教育方针，</w:t>
      </w:r>
      <w:r>
        <w:rPr>
          <w:rFonts w:hint="eastAsia"/>
        </w:rPr>
        <w:t>坚持教育优先战略，坚持立德树人导向，探索协同教育机制，坚持素质教育方向，坚持以人民为中心，提高人民群众的教育满意度和获得感，推进高水平实现奉化教育现代化，</w:t>
      </w:r>
      <w:r>
        <w:rPr>
          <w:rFonts w:hint="eastAsia"/>
          <w:color w:val="000000"/>
        </w:rPr>
        <w:t>全力打造高质量教育奉化标杆，涌现一批具有奉化辨识度的教育成果，</w:t>
      </w:r>
      <w:r>
        <w:rPr>
          <w:rFonts w:hint="eastAsia"/>
        </w:rPr>
        <w:t>为全区高质量建设现代化健康美丽新城区和共同富裕特色区提供坚实教育支撑。</w:t>
      </w:r>
    </w:p>
    <w:p>
      <w:pPr>
        <w:pStyle w:val="4"/>
        <w:ind w:firstLine="640"/>
      </w:pPr>
      <w:bookmarkStart w:id="88" w:name="_Toc66825166"/>
      <w:bookmarkStart w:id="89" w:name="_Toc18600"/>
      <w:bookmarkStart w:id="90" w:name="_Toc2939"/>
      <w:bookmarkStart w:id="91" w:name="_Toc82850584"/>
      <w:r>
        <w:rPr>
          <w:rFonts w:hint="eastAsia"/>
        </w:rPr>
        <w:t>（二）</w:t>
      </w:r>
      <w:bookmarkEnd w:id="83"/>
      <w:bookmarkEnd w:id="84"/>
      <w:bookmarkEnd w:id="85"/>
      <w:bookmarkEnd w:id="86"/>
      <w:bookmarkEnd w:id="87"/>
      <w:r>
        <w:rPr>
          <w:rFonts w:hint="eastAsia"/>
        </w:rPr>
        <w:t>总体目标</w:t>
      </w:r>
      <w:bookmarkEnd w:id="88"/>
      <w:bookmarkEnd w:id="89"/>
      <w:bookmarkEnd w:id="90"/>
      <w:bookmarkEnd w:id="91"/>
    </w:p>
    <w:p>
      <w:r>
        <w:rPr>
          <w:rFonts w:hint="eastAsia"/>
        </w:rPr>
        <w:t>以“奋力打造‘全域美丽’最美教育样板”为目标，推动党对教育工作领导更加坚强、立德树人根本任务全面落实、教育质量品质内涵持续提升、教师队伍建设水平显著提高，基本建成与现代化健康美丽新城区相匹配的高质量教育体系。力争通过5年努力，提供更加普惠优质学前教育，提升基础教育办学质量，加快构建现代职教体系，推进终身教育更加融合开放，推进弱势群体享受优质教育服务，推进</w:t>
      </w:r>
      <w:r>
        <w:rPr>
          <w:rFonts w:hint="eastAsia"/>
          <w:color w:val="000000" w:themeColor="text1"/>
          <w14:textFill>
            <w14:solidFill>
              <w14:schemeClr w14:val="tx1"/>
            </w14:solidFill>
          </w14:textFill>
        </w:rPr>
        <w:t>民生难题不断得到破解，提高人民群众的教育满意度和获得感。</w:t>
      </w:r>
    </w:p>
    <w:p>
      <w:pPr>
        <w:ind w:firstLine="602"/>
        <w:jc w:val="center"/>
        <w:rPr>
          <w:b/>
          <w:bCs/>
          <w:sz w:val="30"/>
          <w:szCs w:val="30"/>
        </w:rPr>
      </w:pPr>
      <w:r>
        <w:rPr>
          <w:rFonts w:hint="eastAsia"/>
          <w:b/>
          <w:bCs/>
          <w:sz w:val="30"/>
          <w:szCs w:val="30"/>
        </w:rPr>
        <w:t>奉化区“十四五”教育事业发展具体指标</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2374"/>
        <w:gridCol w:w="774"/>
        <w:gridCol w:w="68"/>
        <w:gridCol w:w="1374"/>
        <w:gridCol w:w="1899"/>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Align w:val="center"/>
          </w:tcPr>
          <w:p>
            <w:pPr>
              <w:spacing w:line="0" w:lineRule="atLeast"/>
              <w:ind w:firstLine="0" w:firstLineChars="0"/>
              <w:jc w:val="center"/>
              <w:rPr>
                <w:b/>
                <w:bCs/>
                <w:sz w:val="22"/>
                <w:szCs w:val="22"/>
              </w:rPr>
            </w:pPr>
            <w:bookmarkStart w:id="92" w:name="_Toc20085"/>
            <w:r>
              <w:rPr>
                <w:b/>
                <w:bCs/>
                <w:sz w:val="22"/>
                <w:szCs w:val="22"/>
              </w:rPr>
              <w:t>类型</w:t>
            </w:r>
          </w:p>
        </w:tc>
        <w:tc>
          <w:tcPr>
            <w:tcW w:w="2502" w:type="pct"/>
            <w:gridSpan w:val="4"/>
            <w:vAlign w:val="center"/>
          </w:tcPr>
          <w:p>
            <w:pPr>
              <w:spacing w:line="0" w:lineRule="atLeast"/>
              <w:ind w:firstLine="0" w:firstLineChars="0"/>
              <w:jc w:val="center"/>
              <w:rPr>
                <w:b/>
                <w:bCs/>
                <w:sz w:val="22"/>
                <w:szCs w:val="22"/>
              </w:rPr>
            </w:pPr>
            <w:r>
              <w:rPr>
                <w:rFonts w:hint="eastAsia"/>
                <w:b/>
                <w:bCs/>
                <w:sz w:val="22"/>
                <w:szCs w:val="22"/>
              </w:rPr>
              <w:t>主要</w:t>
            </w:r>
            <w:r>
              <w:rPr>
                <w:b/>
                <w:bCs/>
                <w:sz w:val="22"/>
                <w:szCs w:val="22"/>
              </w:rPr>
              <w:t>指标</w:t>
            </w:r>
          </w:p>
        </w:tc>
        <w:tc>
          <w:tcPr>
            <w:tcW w:w="1035" w:type="pct"/>
            <w:vAlign w:val="center"/>
          </w:tcPr>
          <w:p>
            <w:pPr>
              <w:spacing w:line="0" w:lineRule="atLeast"/>
              <w:ind w:firstLine="0" w:firstLineChars="0"/>
              <w:jc w:val="center"/>
              <w:rPr>
                <w:b/>
                <w:bCs/>
                <w:sz w:val="22"/>
                <w:szCs w:val="22"/>
              </w:rPr>
            </w:pPr>
            <w:r>
              <w:rPr>
                <w:b/>
                <w:bCs/>
                <w:sz w:val="22"/>
                <w:szCs w:val="22"/>
              </w:rPr>
              <w:t>2025年</w:t>
            </w:r>
          </w:p>
        </w:tc>
        <w:tc>
          <w:tcPr>
            <w:tcW w:w="1034" w:type="pct"/>
            <w:vAlign w:val="center"/>
          </w:tcPr>
          <w:p>
            <w:pPr>
              <w:spacing w:line="0" w:lineRule="atLeast"/>
              <w:ind w:firstLine="442"/>
              <w:rPr>
                <w:b/>
                <w:bCs/>
                <w:sz w:val="22"/>
                <w:szCs w:val="22"/>
              </w:rPr>
            </w:pPr>
            <w:r>
              <w:rPr>
                <w:rFonts w:hint="eastAsia"/>
                <w:b/>
                <w:bCs/>
                <w:sz w:val="22"/>
                <w:szCs w:val="22"/>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restart"/>
            <w:vAlign w:val="center"/>
          </w:tcPr>
          <w:p>
            <w:pPr>
              <w:spacing w:line="0" w:lineRule="atLeast"/>
              <w:ind w:firstLine="0" w:firstLineChars="0"/>
              <w:jc w:val="center"/>
              <w:rPr>
                <w:b/>
                <w:bCs/>
                <w:sz w:val="22"/>
                <w:szCs w:val="22"/>
              </w:rPr>
            </w:pPr>
            <w:r>
              <w:rPr>
                <w:b/>
                <w:bCs/>
                <w:sz w:val="22"/>
                <w:szCs w:val="22"/>
              </w:rPr>
              <w:t>学前教育</w:t>
            </w:r>
          </w:p>
        </w:tc>
        <w:tc>
          <w:tcPr>
            <w:tcW w:w="2502" w:type="pct"/>
            <w:gridSpan w:val="4"/>
            <w:vAlign w:val="center"/>
          </w:tcPr>
          <w:p>
            <w:pPr>
              <w:spacing w:line="0" w:lineRule="atLeast"/>
              <w:ind w:firstLine="0" w:firstLineChars="0"/>
              <w:jc w:val="center"/>
              <w:rPr>
                <w:sz w:val="22"/>
                <w:szCs w:val="22"/>
              </w:rPr>
            </w:pPr>
            <w:r>
              <w:rPr>
                <w:rFonts w:hint="eastAsia"/>
                <w:sz w:val="22"/>
                <w:szCs w:val="22"/>
              </w:rPr>
              <w:t>普惠性幼儿园及公办幼儿园入园比例（%）</w:t>
            </w:r>
          </w:p>
        </w:tc>
        <w:tc>
          <w:tcPr>
            <w:tcW w:w="1035" w:type="pct"/>
            <w:vAlign w:val="center"/>
          </w:tcPr>
          <w:p>
            <w:pPr>
              <w:spacing w:line="0" w:lineRule="atLeast"/>
              <w:ind w:firstLine="0" w:firstLineChars="0"/>
              <w:jc w:val="center"/>
              <w:rPr>
                <w:sz w:val="22"/>
                <w:szCs w:val="22"/>
              </w:rPr>
            </w:pPr>
            <w:r>
              <w:rPr>
                <w:rFonts w:hint="eastAsia"/>
                <w:sz w:val="22"/>
                <w:szCs w:val="22"/>
              </w:rPr>
              <w:t>≥9</w:t>
            </w:r>
            <w:r>
              <w:rPr>
                <w:sz w:val="22"/>
                <w:szCs w:val="22"/>
              </w:rPr>
              <w:t>0</w:t>
            </w:r>
          </w:p>
        </w:tc>
        <w:tc>
          <w:tcPr>
            <w:tcW w:w="1034" w:type="pct"/>
            <w:vAlign w:val="center"/>
          </w:tcPr>
          <w:p>
            <w:pPr>
              <w:spacing w:line="0" w:lineRule="atLeast"/>
              <w:ind w:firstLine="440"/>
              <w:rPr>
                <w:sz w:val="22"/>
                <w:szCs w:val="22"/>
              </w:rPr>
            </w:pPr>
            <w:r>
              <w:rPr>
                <w:rFonts w:hint="eastAsia"/>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2502" w:type="pct"/>
            <w:gridSpan w:val="4"/>
            <w:vAlign w:val="center"/>
          </w:tcPr>
          <w:p>
            <w:pPr>
              <w:spacing w:line="0" w:lineRule="atLeast"/>
              <w:ind w:firstLine="0" w:firstLineChars="0"/>
              <w:jc w:val="center"/>
              <w:rPr>
                <w:sz w:val="22"/>
                <w:szCs w:val="22"/>
              </w:rPr>
            </w:pPr>
            <w:r>
              <w:rPr>
                <w:sz w:val="22"/>
                <w:szCs w:val="22"/>
              </w:rPr>
              <w:t>二级</w:t>
            </w:r>
            <w:r>
              <w:rPr>
                <w:rFonts w:hint="eastAsia"/>
                <w:sz w:val="22"/>
                <w:szCs w:val="22"/>
              </w:rPr>
              <w:t>及</w:t>
            </w:r>
            <w:r>
              <w:rPr>
                <w:sz w:val="22"/>
                <w:szCs w:val="22"/>
              </w:rPr>
              <w:t>以上幼儿园</w:t>
            </w:r>
            <w:r>
              <w:rPr>
                <w:rFonts w:hint="eastAsia"/>
                <w:sz w:val="22"/>
                <w:szCs w:val="22"/>
              </w:rPr>
              <w:t>在园幼儿占比（%）</w:t>
            </w:r>
          </w:p>
        </w:tc>
        <w:tc>
          <w:tcPr>
            <w:tcW w:w="1035" w:type="pct"/>
            <w:vAlign w:val="center"/>
          </w:tcPr>
          <w:p>
            <w:pPr>
              <w:spacing w:line="0" w:lineRule="atLeast"/>
              <w:ind w:firstLine="0" w:firstLineChars="0"/>
              <w:jc w:val="center"/>
              <w:rPr>
                <w:sz w:val="22"/>
                <w:szCs w:val="22"/>
              </w:rPr>
            </w:pPr>
            <w:r>
              <w:rPr>
                <w:rFonts w:hint="eastAsia"/>
                <w:sz w:val="22"/>
                <w:szCs w:val="22"/>
              </w:rPr>
              <w:t>7</w:t>
            </w:r>
            <w:r>
              <w:rPr>
                <w:sz w:val="22"/>
                <w:szCs w:val="22"/>
              </w:rPr>
              <w:t>0</w:t>
            </w:r>
          </w:p>
        </w:tc>
        <w:tc>
          <w:tcPr>
            <w:tcW w:w="1034" w:type="pct"/>
            <w:vAlign w:val="center"/>
          </w:tcPr>
          <w:p>
            <w:pPr>
              <w:spacing w:line="0" w:lineRule="atLeast"/>
              <w:ind w:firstLine="440"/>
              <w:rPr>
                <w:sz w:val="22"/>
                <w:szCs w:val="22"/>
              </w:rPr>
            </w:pPr>
            <w:r>
              <w:rPr>
                <w:rFonts w:hint="eastAsia"/>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2502" w:type="pct"/>
            <w:gridSpan w:val="4"/>
            <w:vAlign w:val="center"/>
          </w:tcPr>
          <w:p>
            <w:pPr>
              <w:spacing w:line="0" w:lineRule="atLeast"/>
              <w:ind w:firstLine="0" w:firstLineChars="0"/>
              <w:jc w:val="center"/>
              <w:rPr>
                <w:sz w:val="22"/>
                <w:szCs w:val="22"/>
              </w:rPr>
            </w:pPr>
            <w:r>
              <w:rPr>
                <w:rFonts w:hint="eastAsia"/>
                <w:sz w:val="22"/>
                <w:szCs w:val="22"/>
              </w:rPr>
              <w:t>全国学前教育普及普惠市督导评估认定</w:t>
            </w:r>
          </w:p>
        </w:tc>
        <w:tc>
          <w:tcPr>
            <w:tcW w:w="1035" w:type="pct"/>
            <w:vAlign w:val="center"/>
          </w:tcPr>
          <w:p>
            <w:pPr>
              <w:spacing w:line="0" w:lineRule="atLeast"/>
              <w:ind w:firstLine="0" w:firstLineChars="0"/>
              <w:jc w:val="center"/>
              <w:rPr>
                <w:sz w:val="22"/>
                <w:szCs w:val="22"/>
              </w:rPr>
            </w:pPr>
            <w:r>
              <w:rPr>
                <w:rFonts w:hint="eastAsia"/>
                <w:sz w:val="22"/>
                <w:szCs w:val="22"/>
              </w:rPr>
              <w:t>通过</w:t>
            </w:r>
          </w:p>
        </w:tc>
        <w:tc>
          <w:tcPr>
            <w:tcW w:w="1034" w:type="pct"/>
            <w:vAlign w:val="center"/>
          </w:tcPr>
          <w:p>
            <w:pPr>
              <w:spacing w:line="0" w:lineRule="atLeast"/>
              <w:ind w:firstLine="440"/>
              <w:rPr>
                <w:sz w:val="22"/>
                <w:szCs w:val="22"/>
              </w:rPr>
            </w:pPr>
            <w:r>
              <w:rPr>
                <w:rFonts w:hint="eastAsia"/>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2502" w:type="pct"/>
            <w:gridSpan w:val="4"/>
            <w:vAlign w:val="center"/>
          </w:tcPr>
          <w:p>
            <w:pPr>
              <w:spacing w:line="0" w:lineRule="atLeast"/>
              <w:ind w:firstLine="0" w:firstLineChars="0"/>
              <w:jc w:val="center"/>
              <w:rPr>
                <w:sz w:val="22"/>
                <w:szCs w:val="22"/>
              </w:rPr>
            </w:pPr>
            <w:r>
              <w:rPr>
                <w:rFonts w:hint="eastAsia"/>
                <w:sz w:val="22"/>
                <w:szCs w:val="22"/>
              </w:rPr>
              <w:t>公办园幼儿占比（%）</w:t>
            </w:r>
          </w:p>
        </w:tc>
        <w:tc>
          <w:tcPr>
            <w:tcW w:w="1035" w:type="pct"/>
            <w:vAlign w:val="center"/>
          </w:tcPr>
          <w:p>
            <w:pPr>
              <w:spacing w:line="0" w:lineRule="atLeast"/>
              <w:ind w:firstLine="0" w:firstLineChars="0"/>
              <w:jc w:val="center"/>
              <w:rPr>
                <w:sz w:val="22"/>
                <w:szCs w:val="22"/>
              </w:rPr>
            </w:pPr>
            <w:r>
              <w:rPr>
                <w:sz w:val="22"/>
                <w:szCs w:val="22"/>
              </w:rPr>
              <w:t>60</w:t>
            </w:r>
          </w:p>
        </w:tc>
        <w:tc>
          <w:tcPr>
            <w:tcW w:w="1034" w:type="pct"/>
            <w:vAlign w:val="center"/>
          </w:tcPr>
          <w:p>
            <w:pPr>
              <w:spacing w:line="0" w:lineRule="atLeast"/>
              <w:ind w:firstLine="440"/>
              <w:rPr>
                <w:sz w:val="22"/>
                <w:szCs w:val="22"/>
              </w:rPr>
            </w:pPr>
            <w:r>
              <w:rPr>
                <w:rFonts w:hint="eastAsia"/>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2502" w:type="pct"/>
            <w:gridSpan w:val="4"/>
            <w:vAlign w:val="center"/>
          </w:tcPr>
          <w:p>
            <w:pPr>
              <w:spacing w:line="0" w:lineRule="atLeast"/>
              <w:ind w:firstLine="0" w:firstLineChars="0"/>
              <w:jc w:val="center"/>
              <w:rPr>
                <w:sz w:val="22"/>
                <w:szCs w:val="22"/>
              </w:rPr>
            </w:pPr>
            <w:r>
              <w:rPr>
                <w:sz w:val="22"/>
                <w:szCs w:val="22"/>
              </w:rPr>
              <w:t>幼儿园生均公用经费</w:t>
            </w:r>
            <w:r>
              <w:rPr>
                <w:rFonts w:hint="eastAsia"/>
                <w:sz w:val="22"/>
                <w:szCs w:val="22"/>
              </w:rPr>
              <w:t>（元）</w:t>
            </w:r>
          </w:p>
        </w:tc>
        <w:tc>
          <w:tcPr>
            <w:tcW w:w="1035" w:type="pct"/>
            <w:vAlign w:val="center"/>
          </w:tcPr>
          <w:p>
            <w:pPr>
              <w:spacing w:line="0" w:lineRule="atLeast"/>
              <w:ind w:firstLine="0" w:firstLineChars="0"/>
              <w:jc w:val="center"/>
              <w:rPr>
                <w:color w:val="FF0000"/>
                <w:sz w:val="22"/>
                <w:szCs w:val="22"/>
              </w:rPr>
            </w:pPr>
            <w:r>
              <w:rPr>
                <w:rFonts w:hint="eastAsia"/>
                <w:sz w:val="22"/>
                <w:szCs w:val="22"/>
              </w:rPr>
              <w:t>800</w:t>
            </w:r>
          </w:p>
        </w:tc>
        <w:tc>
          <w:tcPr>
            <w:tcW w:w="1034" w:type="pct"/>
            <w:vAlign w:val="center"/>
          </w:tcPr>
          <w:p>
            <w:pPr>
              <w:spacing w:line="0" w:lineRule="atLeast"/>
              <w:ind w:firstLine="440"/>
              <w:rPr>
                <w:color w:val="000000" w:themeColor="text1"/>
                <w:sz w:val="22"/>
                <w:szCs w:val="22"/>
                <w14:textFill>
                  <w14:solidFill>
                    <w14:schemeClr w14:val="tx1"/>
                  </w14:solidFill>
                </w14:textFill>
              </w:rPr>
            </w:pPr>
            <w:r>
              <w:rPr>
                <w:rFonts w:hint="eastAsia"/>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2502" w:type="pct"/>
            <w:gridSpan w:val="4"/>
            <w:vAlign w:val="center"/>
          </w:tcPr>
          <w:p>
            <w:pPr>
              <w:spacing w:line="0" w:lineRule="atLeast"/>
              <w:ind w:firstLine="0" w:firstLineChars="0"/>
              <w:jc w:val="center"/>
              <w:rPr>
                <w:sz w:val="22"/>
                <w:szCs w:val="22"/>
              </w:rPr>
            </w:pPr>
            <w:r>
              <w:rPr>
                <w:sz w:val="22"/>
                <w:szCs w:val="22"/>
              </w:rPr>
              <w:t>专科及以上学历教师比例</w:t>
            </w:r>
            <w:r>
              <w:rPr>
                <w:rFonts w:hint="eastAsia"/>
                <w:sz w:val="22"/>
                <w:szCs w:val="22"/>
              </w:rPr>
              <w:t>（%）</w:t>
            </w:r>
          </w:p>
        </w:tc>
        <w:tc>
          <w:tcPr>
            <w:tcW w:w="1035" w:type="pct"/>
            <w:vAlign w:val="center"/>
          </w:tcPr>
          <w:p>
            <w:pPr>
              <w:spacing w:line="0" w:lineRule="atLeast"/>
              <w:ind w:firstLine="0" w:firstLineChars="0"/>
              <w:jc w:val="center"/>
              <w:rPr>
                <w:sz w:val="22"/>
                <w:szCs w:val="22"/>
              </w:rPr>
            </w:pPr>
            <w:r>
              <w:rPr>
                <w:rFonts w:hint="eastAsia"/>
                <w:sz w:val="22"/>
                <w:szCs w:val="22"/>
              </w:rPr>
              <w:t>97</w:t>
            </w:r>
          </w:p>
        </w:tc>
        <w:tc>
          <w:tcPr>
            <w:tcW w:w="1034" w:type="pct"/>
            <w:vAlign w:val="center"/>
          </w:tcPr>
          <w:p>
            <w:pPr>
              <w:spacing w:line="0" w:lineRule="atLeast"/>
              <w:ind w:firstLine="440"/>
              <w:rPr>
                <w:sz w:val="22"/>
                <w:szCs w:val="22"/>
              </w:rPr>
            </w:pPr>
            <w:r>
              <w:rPr>
                <w:rFonts w:hint="eastAsia"/>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restart"/>
            <w:vAlign w:val="center"/>
          </w:tcPr>
          <w:p>
            <w:pPr>
              <w:spacing w:line="0" w:lineRule="atLeast"/>
              <w:ind w:firstLine="0" w:firstLineChars="0"/>
              <w:jc w:val="center"/>
              <w:rPr>
                <w:b/>
                <w:bCs/>
                <w:sz w:val="22"/>
                <w:szCs w:val="22"/>
              </w:rPr>
            </w:pPr>
            <w:r>
              <w:rPr>
                <w:b/>
                <w:bCs/>
                <w:sz w:val="22"/>
                <w:szCs w:val="22"/>
              </w:rPr>
              <w:t>义务教育</w:t>
            </w:r>
          </w:p>
        </w:tc>
        <w:tc>
          <w:tcPr>
            <w:tcW w:w="2502" w:type="pct"/>
            <w:gridSpan w:val="4"/>
            <w:vAlign w:val="center"/>
          </w:tcPr>
          <w:p>
            <w:pPr>
              <w:spacing w:line="0" w:lineRule="atLeast"/>
              <w:ind w:firstLine="0" w:firstLineChars="0"/>
              <w:jc w:val="center"/>
              <w:rPr>
                <w:sz w:val="22"/>
                <w:szCs w:val="22"/>
              </w:rPr>
            </w:pPr>
            <w:r>
              <w:rPr>
                <w:rFonts w:hint="eastAsia"/>
                <w:sz w:val="22"/>
                <w:szCs w:val="22"/>
              </w:rPr>
              <w:t>全国义务教育优质均衡发展区督导评估认定</w:t>
            </w:r>
          </w:p>
        </w:tc>
        <w:tc>
          <w:tcPr>
            <w:tcW w:w="1035" w:type="pct"/>
            <w:vAlign w:val="center"/>
          </w:tcPr>
          <w:p>
            <w:pPr>
              <w:spacing w:line="0" w:lineRule="atLeast"/>
              <w:ind w:firstLine="0" w:firstLineChars="0"/>
              <w:jc w:val="center"/>
              <w:rPr>
                <w:sz w:val="22"/>
                <w:szCs w:val="22"/>
              </w:rPr>
            </w:pPr>
            <w:r>
              <w:rPr>
                <w:rFonts w:hint="eastAsia"/>
                <w:sz w:val="22"/>
                <w:szCs w:val="22"/>
              </w:rPr>
              <w:t>通过</w:t>
            </w:r>
          </w:p>
        </w:tc>
        <w:tc>
          <w:tcPr>
            <w:tcW w:w="1034" w:type="pct"/>
            <w:vAlign w:val="center"/>
          </w:tcPr>
          <w:p>
            <w:pPr>
              <w:spacing w:line="0" w:lineRule="atLeast"/>
              <w:ind w:firstLine="440"/>
              <w:rPr>
                <w:sz w:val="22"/>
                <w:szCs w:val="22"/>
              </w:rPr>
            </w:pPr>
            <w:r>
              <w:rPr>
                <w:rFonts w:hint="eastAsia"/>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1716" w:type="pct"/>
            <w:gridSpan w:val="2"/>
            <w:vMerge w:val="restart"/>
            <w:vAlign w:val="center"/>
          </w:tcPr>
          <w:p>
            <w:pPr>
              <w:spacing w:line="0" w:lineRule="atLeast"/>
              <w:ind w:firstLine="0" w:firstLineChars="0"/>
              <w:jc w:val="center"/>
              <w:rPr>
                <w:sz w:val="22"/>
                <w:szCs w:val="22"/>
              </w:rPr>
            </w:pPr>
            <w:r>
              <w:rPr>
                <w:rFonts w:hint="eastAsia"/>
                <w:sz w:val="22"/>
                <w:szCs w:val="22"/>
              </w:rPr>
              <w:t>校际优质均衡系数</w:t>
            </w:r>
          </w:p>
        </w:tc>
        <w:tc>
          <w:tcPr>
            <w:tcW w:w="786" w:type="pct"/>
            <w:gridSpan w:val="2"/>
            <w:vAlign w:val="center"/>
          </w:tcPr>
          <w:p>
            <w:pPr>
              <w:spacing w:line="0" w:lineRule="atLeast"/>
              <w:ind w:firstLine="0" w:firstLineChars="0"/>
              <w:jc w:val="center"/>
              <w:rPr>
                <w:sz w:val="22"/>
                <w:szCs w:val="22"/>
              </w:rPr>
            </w:pPr>
            <w:r>
              <w:rPr>
                <w:rFonts w:hint="eastAsia"/>
                <w:sz w:val="22"/>
                <w:szCs w:val="22"/>
              </w:rPr>
              <w:t>小学段</w:t>
            </w:r>
          </w:p>
        </w:tc>
        <w:tc>
          <w:tcPr>
            <w:tcW w:w="1035" w:type="pct"/>
            <w:vAlign w:val="center"/>
          </w:tcPr>
          <w:p>
            <w:pPr>
              <w:spacing w:line="0" w:lineRule="atLeast"/>
              <w:ind w:firstLine="0" w:firstLineChars="0"/>
              <w:jc w:val="center"/>
              <w:rPr>
                <w:sz w:val="22"/>
                <w:szCs w:val="22"/>
              </w:rPr>
            </w:pPr>
            <w:r>
              <w:rPr>
                <w:rFonts w:hint="eastAsia"/>
                <w:sz w:val="22"/>
                <w:szCs w:val="22"/>
              </w:rPr>
              <w:t>0.3</w:t>
            </w:r>
            <w:r>
              <w:rPr>
                <w:sz w:val="22"/>
                <w:szCs w:val="22"/>
              </w:rPr>
              <w:t>0</w:t>
            </w:r>
          </w:p>
        </w:tc>
        <w:tc>
          <w:tcPr>
            <w:tcW w:w="1034" w:type="pct"/>
            <w:vAlign w:val="center"/>
          </w:tcPr>
          <w:p>
            <w:pPr>
              <w:spacing w:line="0" w:lineRule="atLeast"/>
              <w:ind w:firstLine="440"/>
              <w:rPr>
                <w:sz w:val="22"/>
                <w:szCs w:val="22"/>
              </w:rPr>
            </w:pPr>
            <w:r>
              <w:rPr>
                <w:rFonts w:hint="eastAsia"/>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1716" w:type="pct"/>
            <w:gridSpan w:val="2"/>
            <w:vMerge w:val="continue"/>
            <w:vAlign w:val="center"/>
          </w:tcPr>
          <w:p>
            <w:pPr>
              <w:spacing w:line="0" w:lineRule="atLeast"/>
              <w:ind w:firstLine="0" w:firstLineChars="0"/>
              <w:jc w:val="center"/>
              <w:rPr>
                <w:sz w:val="22"/>
                <w:szCs w:val="22"/>
              </w:rPr>
            </w:pPr>
          </w:p>
        </w:tc>
        <w:tc>
          <w:tcPr>
            <w:tcW w:w="786" w:type="pct"/>
            <w:gridSpan w:val="2"/>
            <w:vAlign w:val="center"/>
          </w:tcPr>
          <w:p>
            <w:pPr>
              <w:spacing w:line="0" w:lineRule="atLeast"/>
              <w:ind w:firstLine="0" w:firstLineChars="0"/>
              <w:jc w:val="center"/>
              <w:rPr>
                <w:sz w:val="22"/>
                <w:szCs w:val="22"/>
              </w:rPr>
            </w:pPr>
            <w:r>
              <w:rPr>
                <w:rFonts w:hint="eastAsia"/>
                <w:sz w:val="22"/>
                <w:szCs w:val="22"/>
              </w:rPr>
              <w:t>初中段</w:t>
            </w:r>
          </w:p>
        </w:tc>
        <w:tc>
          <w:tcPr>
            <w:tcW w:w="1035" w:type="pct"/>
            <w:vAlign w:val="center"/>
          </w:tcPr>
          <w:p>
            <w:pPr>
              <w:spacing w:line="0" w:lineRule="atLeast"/>
              <w:ind w:firstLine="0" w:firstLineChars="0"/>
              <w:jc w:val="center"/>
              <w:rPr>
                <w:sz w:val="22"/>
                <w:szCs w:val="22"/>
              </w:rPr>
            </w:pPr>
            <w:r>
              <w:rPr>
                <w:rFonts w:hint="eastAsia"/>
                <w:sz w:val="22"/>
                <w:szCs w:val="22"/>
              </w:rPr>
              <w:t>0</w:t>
            </w:r>
            <w:r>
              <w:rPr>
                <w:sz w:val="22"/>
                <w:szCs w:val="22"/>
              </w:rPr>
              <w:t>.25</w:t>
            </w:r>
          </w:p>
        </w:tc>
        <w:tc>
          <w:tcPr>
            <w:tcW w:w="1034" w:type="pct"/>
            <w:vAlign w:val="center"/>
          </w:tcPr>
          <w:p>
            <w:pPr>
              <w:spacing w:line="0" w:lineRule="atLeast"/>
              <w:ind w:firstLine="440"/>
              <w:rPr>
                <w:color w:val="FF0000"/>
                <w:sz w:val="22"/>
                <w:szCs w:val="22"/>
              </w:rPr>
            </w:pPr>
            <w:r>
              <w:rPr>
                <w:rFonts w:hint="eastAsia"/>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29" w:type="pct"/>
            <w:vMerge w:val="continue"/>
            <w:vAlign w:val="center"/>
          </w:tcPr>
          <w:p>
            <w:pPr>
              <w:spacing w:line="0" w:lineRule="atLeast"/>
              <w:ind w:firstLine="442"/>
              <w:rPr>
                <w:b/>
                <w:bCs/>
                <w:sz w:val="22"/>
                <w:szCs w:val="22"/>
              </w:rPr>
            </w:pPr>
          </w:p>
        </w:tc>
        <w:tc>
          <w:tcPr>
            <w:tcW w:w="2502" w:type="pct"/>
            <w:gridSpan w:val="4"/>
            <w:vAlign w:val="center"/>
          </w:tcPr>
          <w:p>
            <w:pPr>
              <w:spacing w:line="0" w:lineRule="atLeast"/>
              <w:ind w:firstLine="0" w:firstLineChars="0"/>
              <w:jc w:val="center"/>
              <w:rPr>
                <w:sz w:val="22"/>
                <w:szCs w:val="22"/>
              </w:rPr>
            </w:pPr>
            <w:r>
              <w:rPr>
                <w:rFonts w:hint="eastAsia"/>
                <w:sz w:val="22"/>
                <w:szCs w:val="22"/>
              </w:rPr>
              <w:t>随迁子女义务教育公办学校就读比例（%）</w:t>
            </w:r>
          </w:p>
        </w:tc>
        <w:tc>
          <w:tcPr>
            <w:tcW w:w="1035" w:type="pct"/>
            <w:vAlign w:val="center"/>
          </w:tcPr>
          <w:p>
            <w:pPr>
              <w:spacing w:line="0" w:lineRule="atLeast"/>
              <w:ind w:firstLine="0" w:firstLineChars="0"/>
              <w:jc w:val="center"/>
              <w:rPr>
                <w:color w:val="FF0000"/>
                <w:sz w:val="22"/>
                <w:szCs w:val="22"/>
              </w:rPr>
            </w:pPr>
            <w:r>
              <w:rPr>
                <w:rFonts w:hint="eastAsia"/>
                <w:sz w:val="22"/>
                <w:szCs w:val="22"/>
              </w:rPr>
              <w:t>≥85</w:t>
            </w:r>
          </w:p>
        </w:tc>
        <w:tc>
          <w:tcPr>
            <w:tcW w:w="1034" w:type="pct"/>
            <w:vAlign w:val="center"/>
          </w:tcPr>
          <w:p>
            <w:pPr>
              <w:spacing w:line="0" w:lineRule="atLeast"/>
              <w:ind w:firstLine="440"/>
              <w:rPr>
                <w:sz w:val="22"/>
                <w:szCs w:val="22"/>
              </w:rPr>
            </w:pPr>
            <w:r>
              <w:rPr>
                <w:rFonts w:hint="eastAsia"/>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2502" w:type="pct"/>
            <w:gridSpan w:val="4"/>
            <w:vAlign w:val="center"/>
          </w:tcPr>
          <w:p>
            <w:pPr>
              <w:spacing w:line="0" w:lineRule="atLeast"/>
              <w:ind w:firstLine="0" w:firstLineChars="0"/>
              <w:jc w:val="center"/>
              <w:rPr>
                <w:sz w:val="22"/>
                <w:szCs w:val="22"/>
              </w:rPr>
            </w:pPr>
            <w:r>
              <w:rPr>
                <w:rFonts w:hint="eastAsia"/>
                <w:sz w:val="22"/>
                <w:szCs w:val="22"/>
              </w:rPr>
              <w:t>初中毕业生升入高中段比例（%）</w:t>
            </w:r>
          </w:p>
        </w:tc>
        <w:tc>
          <w:tcPr>
            <w:tcW w:w="1035" w:type="pct"/>
            <w:vAlign w:val="center"/>
          </w:tcPr>
          <w:p>
            <w:pPr>
              <w:spacing w:line="0" w:lineRule="atLeast"/>
              <w:ind w:firstLine="0" w:firstLineChars="0"/>
              <w:jc w:val="center"/>
              <w:rPr>
                <w:sz w:val="22"/>
                <w:szCs w:val="22"/>
              </w:rPr>
            </w:pPr>
            <w:r>
              <w:rPr>
                <w:rFonts w:hint="eastAsia"/>
                <w:sz w:val="22"/>
                <w:szCs w:val="22"/>
              </w:rPr>
              <w:t>＞99</w:t>
            </w:r>
          </w:p>
        </w:tc>
        <w:tc>
          <w:tcPr>
            <w:tcW w:w="1034" w:type="pct"/>
            <w:vAlign w:val="center"/>
          </w:tcPr>
          <w:p>
            <w:pPr>
              <w:spacing w:line="0" w:lineRule="atLeast"/>
              <w:ind w:firstLine="440"/>
              <w:rPr>
                <w:sz w:val="22"/>
                <w:szCs w:val="22"/>
              </w:rPr>
            </w:pPr>
            <w:r>
              <w:rPr>
                <w:rFonts w:hint="eastAsia"/>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1294" w:type="pct"/>
            <w:vMerge w:val="restart"/>
            <w:vAlign w:val="center"/>
          </w:tcPr>
          <w:p>
            <w:pPr>
              <w:spacing w:line="0" w:lineRule="atLeast"/>
              <w:ind w:firstLine="0" w:firstLineChars="0"/>
              <w:jc w:val="center"/>
              <w:rPr>
                <w:sz w:val="22"/>
                <w:szCs w:val="22"/>
              </w:rPr>
            </w:pPr>
            <w:r>
              <w:rPr>
                <w:sz w:val="22"/>
                <w:szCs w:val="22"/>
              </w:rPr>
              <w:t>生均公用经费</w:t>
            </w:r>
            <w:r>
              <w:rPr>
                <w:rFonts w:hint="eastAsia"/>
                <w:sz w:val="22"/>
                <w:szCs w:val="22"/>
              </w:rPr>
              <w:t>（元）</w:t>
            </w:r>
          </w:p>
        </w:tc>
        <w:tc>
          <w:tcPr>
            <w:tcW w:w="1208" w:type="pct"/>
            <w:gridSpan w:val="3"/>
            <w:vAlign w:val="center"/>
          </w:tcPr>
          <w:p>
            <w:pPr>
              <w:spacing w:line="0" w:lineRule="atLeast"/>
              <w:ind w:firstLine="0" w:firstLineChars="0"/>
              <w:jc w:val="center"/>
              <w:rPr>
                <w:sz w:val="22"/>
                <w:szCs w:val="22"/>
              </w:rPr>
            </w:pPr>
            <w:r>
              <w:rPr>
                <w:rFonts w:hint="eastAsia"/>
                <w:sz w:val="22"/>
                <w:szCs w:val="22"/>
              </w:rPr>
              <w:t>小学</w:t>
            </w:r>
          </w:p>
        </w:tc>
        <w:tc>
          <w:tcPr>
            <w:tcW w:w="1035" w:type="pct"/>
            <w:vAlign w:val="center"/>
          </w:tcPr>
          <w:p>
            <w:pPr>
              <w:spacing w:line="0" w:lineRule="atLeast"/>
              <w:ind w:firstLine="0" w:firstLineChars="0"/>
              <w:jc w:val="center"/>
              <w:rPr>
                <w:sz w:val="22"/>
                <w:szCs w:val="22"/>
              </w:rPr>
            </w:pPr>
            <w:r>
              <w:rPr>
                <w:sz w:val="22"/>
                <w:szCs w:val="22"/>
              </w:rPr>
              <w:t>16</w:t>
            </w:r>
            <w:r>
              <w:rPr>
                <w:rFonts w:hint="eastAsia"/>
                <w:sz w:val="22"/>
                <w:szCs w:val="22"/>
              </w:rPr>
              <w:t>00</w:t>
            </w:r>
          </w:p>
        </w:tc>
        <w:tc>
          <w:tcPr>
            <w:tcW w:w="1034" w:type="pct"/>
            <w:vAlign w:val="center"/>
          </w:tcPr>
          <w:p>
            <w:pPr>
              <w:spacing w:line="0" w:lineRule="atLeast"/>
              <w:ind w:firstLine="440"/>
              <w:rPr>
                <w:sz w:val="22"/>
                <w:szCs w:val="22"/>
              </w:rPr>
            </w:pPr>
            <w:r>
              <w:rPr>
                <w:rFonts w:hint="eastAsia"/>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1294" w:type="pct"/>
            <w:vMerge w:val="continue"/>
            <w:vAlign w:val="center"/>
          </w:tcPr>
          <w:p>
            <w:pPr>
              <w:spacing w:line="0" w:lineRule="atLeast"/>
              <w:ind w:firstLine="0" w:firstLineChars="0"/>
              <w:jc w:val="center"/>
              <w:rPr>
                <w:sz w:val="22"/>
                <w:szCs w:val="22"/>
              </w:rPr>
            </w:pPr>
          </w:p>
        </w:tc>
        <w:tc>
          <w:tcPr>
            <w:tcW w:w="1208" w:type="pct"/>
            <w:gridSpan w:val="3"/>
            <w:vAlign w:val="center"/>
          </w:tcPr>
          <w:p>
            <w:pPr>
              <w:spacing w:line="0" w:lineRule="atLeast"/>
              <w:ind w:firstLine="0" w:firstLineChars="0"/>
              <w:jc w:val="center"/>
              <w:rPr>
                <w:sz w:val="22"/>
                <w:szCs w:val="22"/>
              </w:rPr>
            </w:pPr>
            <w:r>
              <w:rPr>
                <w:sz w:val="22"/>
                <w:szCs w:val="22"/>
              </w:rPr>
              <w:t>初中</w:t>
            </w:r>
          </w:p>
        </w:tc>
        <w:tc>
          <w:tcPr>
            <w:tcW w:w="1035" w:type="pct"/>
            <w:vAlign w:val="center"/>
          </w:tcPr>
          <w:p>
            <w:pPr>
              <w:spacing w:line="0" w:lineRule="atLeast"/>
              <w:ind w:firstLine="0" w:firstLineChars="0"/>
              <w:jc w:val="center"/>
              <w:rPr>
                <w:sz w:val="22"/>
                <w:szCs w:val="22"/>
              </w:rPr>
            </w:pPr>
            <w:r>
              <w:rPr>
                <w:rFonts w:hint="eastAsia"/>
                <w:sz w:val="22"/>
                <w:szCs w:val="22"/>
              </w:rPr>
              <w:t>2000</w:t>
            </w:r>
          </w:p>
        </w:tc>
        <w:tc>
          <w:tcPr>
            <w:tcW w:w="1034" w:type="pct"/>
            <w:vAlign w:val="center"/>
          </w:tcPr>
          <w:p>
            <w:pPr>
              <w:spacing w:line="0" w:lineRule="atLeast"/>
              <w:ind w:firstLine="440"/>
              <w:rPr>
                <w:sz w:val="22"/>
                <w:szCs w:val="22"/>
              </w:rPr>
            </w:pPr>
            <w:r>
              <w:rPr>
                <w:rFonts w:hint="eastAsia"/>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1294" w:type="pct"/>
            <w:vMerge w:val="restart"/>
            <w:vAlign w:val="center"/>
          </w:tcPr>
          <w:p>
            <w:pPr>
              <w:spacing w:line="0" w:lineRule="atLeast"/>
              <w:ind w:firstLine="0" w:firstLineChars="0"/>
              <w:jc w:val="center"/>
              <w:rPr>
                <w:sz w:val="22"/>
                <w:szCs w:val="22"/>
              </w:rPr>
            </w:pPr>
            <w:r>
              <w:rPr>
                <w:rFonts w:hint="eastAsia"/>
                <w:sz w:val="22"/>
                <w:szCs w:val="22"/>
              </w:rPr>
              <w:t>教师</w:t>
            </w:r>
            <w:r>
              <w:rPr>
                <w:sz w:val="22"/>
                <w:szCs w:val="22"/>
              </w:rPr>
              <w:t>学历</w:t>
            </w:r>
            <w:r>
              <w:rPr>
                <w:rFonts w:hint="eastAsia"/>
                <w:sz w:val="22"/>
                <w:szCs w:val="22"/>
              </w:rPr>
              <w:t>（%）</w:t>
            </w:r>
          </w:p>
          <w:p>
            <w:pPr>
              <w:spacing w:line="0" w:lineRule="atLeast"/>
              <w:ind w:firstLine="0" w:firstLineChars="0"/>
              <w:jc w:val="center"/>
              <w:rPr>
                <w:sz w:val="22"/>
                <w:szCs w:val="22"/>
              </w:rPr>
            </w:pPr>
          </w:p>
        </w:tc>
        <w:tc>
          <w:tcPr>
            <w:tcW w:w="1208" w:type="pct"/>
            <w:gridSpan w:val="3"/>
            <w:vAlign w:val="center"/>
          </w:tcPr>
          <w:p>
            <w:pPr>
              <w:spacing w:line="0" w:lineRule="atLeast"/>
              <w:ind w:firstLine="0" w:firstLineChars="0"/>
              <w:jc w:val="center"/>
              <w:rPr>
                <w:sz w:val="22"/>
                <w:szCs w:val="22"/>
              </w:rPr>
            </w:pPr>
            <w:r>
              <w:rPr>
                <w:sz w:val="22"/>
                <w:szCs w:val="22"/>
              </w:rPr>
              <w:t>小学本科</w:t>
            </w:r>
          </w:p>
        </w:tc>
        <w:tc>
          <w:tcPr>
            <w:tcW w:w="1035" w:type="pct"/>
            <w:vAlign w:val="center"/>
          </w:tcPr>
          <w:p>
            <w:pPr>
              <w:spacing w:line="0" w:lineRule="atLeast"/>
              <w:ind w:firstLine="0" w:firstLineChars="0"/>
              <w:jc w:val="center"/>
              <w:rPr>
                <w:sz w:val="22"/>
                <w:szCs w:val="22"/>
              </w:rPr>
            </w:pPr>
            <w:r>
              <w:rPr>
                <w:rFonts w:hint="eastAsia"/>
                <w:sz w:val="22"/>
                <w:szCs w:val="22"/>
              </w:rPr>
              <w:t>＞96</w:t>
            </w:r>
          </w:p>
        </w:tc>
        <w:tc>
          <w:tcPr>
            <w:tcW w:w="1034" w:type="pct"/>
            <w:vAlign w:val="center"/>
          </w:tcPr>
          <w:p>
            <w:pPr>
              <w:spacing w:line="0" w:lineRule="atLeast"/>
              <w:ind w:firstLine="440"/>
              <w:rPr>
                <w:sz w:val="22"/>
                <w:szCs w:val="22"/>
              </w:rPr>
            </w:pPr>
            <w:r>
              <w:rPr>
                <w:rFonts w:hint="eastAsia"/>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1294" w:type="pct"/>
            <w:vMerge w:val="continue"/>
            <w:vAlign w:val="center"/>
          </w:tcPr>
          <w:p>
            <w:pPr>
              <w:spacing w:line="0" w:lineRule="atLeast"/>
              <w:ind w:firstLine="0" w:firstLineChars="0"/>
              <w:jc w:val="center"/>
              <w:rPr>
                <w:sz w:val="22"/>
                <w:szCs w:val="22"/>
              </w:rPr>
            </w:pPr>
          </w:p>
        </w:tc>
        <w:tc>
          <w:tcPr>
            <w:tcW w:w="1208" w:type="pct"/>
            <w:gridSpan w:val="3"/>
            <w:vAlign w:val="center"/>
          </w:tcPr>
          <w:p>
            <w:pPr>
              <w:spacing w:line="0" w:lineRule="atLeast"/>
              <w:ind w:firstLine="0" w:firstLineChars="0"/>
              <w:jc w:val="center"/>
              <w:rPr>
                <w:sz w:val="22"/>
                <w:szCs w:val="22"/>
              </w:rPr>
            </w:pPr>
            <w:r>
              <w:rPr>
                <w:sz w:val="22"/>
                <w:szCs w:val="22"/>
              </w:rPr>
              <w:t>初中研究生</w:t>
            </w:r>
          </w:p>
        </w:tc>
        <w:tc>
          <w:tcPr>
            <w:tcW w:w="1035" w:type="pct"/>
            <w:vAlign w:val="center"/>
          </w:tcPr>
          <w:p>
            <w:pPr>
              <w:spacing w:line="0" w:lineRule="atLeast"/>
              <w:ind w:firstLine="0" w:firstLineChars="0"/>
              <w:jc w:val="center"/>
              <w:rPr>
                <w:sz w:val="22"/>
                <w:szCs w:val="22"/>
              </w:rPr>
            </w:pPr>
            <w:r>
              <w:rPr>
                <w:rFonts w:hint="eastAsia"/>
                <w:sz w:val="22"/>
                <w:szCs w:val="22"/>
              </w:rPr>
              <w:t>＞</w:t>
            </w:r>
            <w:r>
              <w:rPr>
                <w:sz w:val="22"/>
                <w:szCs w:val="22"/>
              </w:rPr>
              <w:t>8</w:t>
            </w:r>
          </w:p>
        </w:tc>
        <w:tc>
          <w:tcPr>
            <w:tcW w:w="1034" w:type="pct"/>
            <w:vAlign w:val="center"/>
          </w:tcPr>
          <w:p>
            <w:pPr>
              <w:spacing w:line="0" w:lineRule="atLeast"/>
              <w:ind w:firstLine="440"/>
              <w:rPr>
                <w:sz w:val="22"/>
                <w:szCs w:val="22"/>
              </w:rPr>
            </w:pPr>
            <w:r>
              <w:rPr>
                <w:rFonts w:hint="eastAsia"/>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restart"/>
            <w:vAlign w:val="center"/>
          </w:tcPr>
          <w:p>
            <w:pPr>
              <w:spacing w:line="0" w:lineRule="atLeast"/>
              <w:ind w:firstLine="0" w:firstLineChars="0"/>
              <w:jc w:val="center"/>
              <w:rPr>
                <w:b/>
                <w:bCs/>
                <w:sz w:val="22"/>
                <w:szCs w:val="22"/>
              </w:rPr>
            </w:pPr>
            <w:r>
              <w:rPr>
                <w:b/>
                <w:bCs/>
                <w:sz w:val="22"/>
                <w:szCs w:val="22"/>
              </w:rPr>
              <w:t>高中教育</w:t>
            </w:r>
          </w:p>
        </w:tc>
        <w:tc>
          <w:tcPr>
            <w:tcW w:w="2502" w:type="pct"/>
            <w:gridSpan w:val="4"/>
            <w:vAlign w:val="center"/>
          </w:tcPr>
          <w:p>
            <w:pPr>
              <w:spacing w:line="0" w:lineRule="atLeast"/>
              <w:ind w:firstLine="0" w:firstLineChars="0"/>
              <w:jc w:val="center"/>
              <w:rPr>
                <w:sz w:val="22"/>
                <w:szCs w:val="22"/>
              </w:rPr>
            </w:pPr>
            <w:r>
              <w:rPr>
                <w:rFonts w:hint="eastAsia"/>
                <w:sz w:val="22"/>
                <w:szCs w:val="22"/>
              </w:rPr>
              <w:t>大学</w:t>
            </w:r>
            <w:r>
              <w:rPr>
                <w:sz w:val="22"/>
                <w:szCs w:val="22"/>
              </w:rPr>
              <w:t>新生体质健康合格率与优秀率</w:t>
            </w:r>
            <w:r>
              <w:rPr>
                <w:rFonts w:hint="eastAsia"/>
                <w:sz w:val="22"/>
                <w:szCs w:val="22"/>
              </w:rPr>
              <w:t>（%）</w:t>
            </w:r>
          </w:p>
        </w:tc>
        <w:tc>
          <w:tcPr>
            <w:tcW w:w="1035" w:type="pct"/>
            <w:vAlign w:val="center"/>
          </w:tcPr>
          <w:p>
            <w:pPr>
              <w:spacing w:line="0" w:lineRule="atLeast"/>
              <w:ind w:firstLine="0" w:firstLineChars="0"/>
              <w:jc w:val="center"/>
              <w:rPr>
                <w:sz w:val="22"/>
                <w:szCs w:val="22"/>
              </w:rPr>
            </w:pPr>
            <w:r>
              <w:rPr>
                <w:rFonts w:hint="eastAsia"/>
                <w:color w:val="000000" w:themeColor="text1"/>
                <w:sz w:val="22"/>
                <w:szCs w:val="22"/>
                <w14:textFill>
                  <w14:solidFill>
                    <w14:schemeClr w14:val="tx1"/>
                  </w14:solidFill>
                </w14:textFill>
              </w:rPr>
              <w:t>95/50</w:t>
            </w:r>
          </w:p>
        </w:tc>
        <w:tc>
          <w:tcPr>
            <w:tcW w:w="1034" w:type="pct"/>
            <w:vAlign w:val="center"/>
          </w:tcPr>
          <w:p>
            <w:pPr>
              <w:spacing w:line="0" w:lineRule="atLeast"/>
              <w:ind w:firstLine="440"/>
              <w:rPr>
                <w:sz w:val="22"/>
                <w:szCs w:val="22"/>
              </w:rPr>
            </w:pPr>
            <w:r>
              <w:rPr>
                <w:rFonts w:hint="eastAsia"/>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2502" w:type="pct"/>
            <w:gridSpan w:val="4"/>
            <w:vAlign w:val="center"/>
          </w:tcPr>
          <w:p>
            <w:pPr>
              <w:spacing w:line="0" w:lineRule="atLeast"/>
              <w:ind w:firstLine="0" w:firstLineChars="0"/>
              <w:jc w:val="center"/>
              <w:rPr>
                <w:sz w:val="22"/>
                <w:szCs w:val="22"/>
              </w:rPr>
            </w:pPr>
            <w:r>
              <w:rPr>
                <w:sz w:val="22"/>
                <w:szCs w:val="22"/>
              </w:rPr>
              <w:t>职业中学</w:t>
            </w:r>
            <w:r>
              <w:rPr>
                <w:rFonts w:hint="eastAsia"/>
                <w:sz w:val="22"/>
                <w:szCs w:val="22"/>
              </w:rPr>
              <w:t>升入高一级学校就读比例（%）</w:t>
            </w:r>
          </w:p>
        </w:tc>
        <w:tc>
          <w:tcPr>
            <w:tcW w:w="1035" w:type="pct"/>
            <w:vAlign w:val="center"/>
          </w:tcPr>
          <w:p>
            <w:pPr>
              <w:spacing w:line="0" w:lineRule="atLeast"/>
              <w:ind w:firstLine="0" w:firstLineChars="0"/>
              <w:jc w:val="center"/>
              <w:rPr>
                <w:sz w:val="22"/>
                <w:szCs w:val="22"/>
              </w:rPr>
            </w:pPr>
            <w:r>
              <w:rPr>
                <w:rFonts w:hint="eastAsia"/>
                <w:sz w:val="22"/>
                <w:szCs w:val="22"/>
              </w:rPr>
              <w:t>≥</w:t>
            </w:r>
            <w:r>
              <w:rPr>
                <w:sz w:val="22"/>
                <w:szCs w:val="22"/>
              </w:rPr>
              <w:t>60</w:t>
            </w:r>
          </w:p>
        </w:tc>
        <w:tc>
          <w:tcPr>
            <w:tcW w:w="1034" w:type="pct"/>
            <w:vAlign w:val="center"/>
          </w:tcPr>
          <w:p>
            <w:pPr>
              <w:spacing w:line="0" w:lineRule="atLeast"/>
              <w:ind w:firstLine="440"/>
              <w:rPr>
                <w:sz w:val="22"/>
                <w:szCs w:val="22"/>
              </w:rPr>
            </w:pPr>
            <w:r>
              <w:rPr>
                <w:rFonts w:hint="eastAsia"/>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2502" w:type="pct"/>
            <w:gridSpan w:val="4"/>
            <w:vAlign w:val="center"/>
          </w:tcPr>
          <w:p>
            <w:pPr>
              <w:spacing w:line="0" w:lineRule="atLeast"/>
              <w:ind w:firstLine="0" w:firstLineChars="0"/>
              <w:jc w:val="center"/>
              <w:rPr>
                <w:color w:val="FF0000"/>
                <w:sz w:val="22"/>
                <w:szCs w:val="22"/>
              </w:rPr>
            </w:pPr>
            <w:r>
              <w:rPr>
                <w:sz w:val="22"/>
                <w:szCs w:val="22"/>
              </w:rPr>
              <w:t>中职双师型教师占专任教师比例</w:t>
            </w:r>
            <w:r>
              <w:rPr>
                <w:rFonts w:hint="eastAsia"/>
                <w:sz w:val="22"/>
                <w:szCs w:val="22"/>
              </w:rPr>
              <w:t>（%）</w:t>
            </w:r>
          </w:p>
        </w:tc>
        <w:tc>
          <w:tcPr>
            <w:tcW w:w="1035" w:type="pct"/>
            <w:vAlign w:val="center"/>
          </w:tcPr>
          <w:p>
            <w:pPr>
              <w:spacing w:line="0" w:lineRule="atLeast"/>
              <w:ind w:firstLine="0" w:firstLineChars="0"/>
              <w:jc w:val="center"/>
              <w:rPr>
                <w:sz w:val="22"/>
                <w:szCs w:val="22"/>
              </w:rPr>
            </w:pPr>
            <w:r>
              <w:rPr>
                <w:rFonts w:hint="eastAsia"/>
                <w:sz w:val="22"/>
                <w:szCs w:val="22"/>
              </w:rPr>
              <w:t>≥92</w:t>
            </w:r>
          </w:p>
        </w:tc>
        <w:tc>
          <w:tcPr>
            <w:tcW w:w="1034" w:type="pct"/>
            <w:vAlign w:val="center"/>
          </w:tcPr>
          <w:p>
            <w:pPr>
              <w:spacing w:line="0" w:lineRule="atLeast"/>
              <w:ind w:firstLine="440"/>
              <w:rPr>
                <w:sz w:val="22"/>
                <w:szCs w:val="22"/>
              </w:rPr>
            </w:pPr>
            <w:r>
              <w:rPr>
                <w:rFonts w:hint="eastAsia"/>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restart"/>
            <w:vAlign w:val="center"/>
          </w:tcPr>
          <w:p>
            <w:pPr>
              <w:spacing w:line="0" w:lineRule="atLeast"/>
              <w:ind w:firstLine="0" w:firstLineChars="0"/>
              <w:jc w:val="center"/>
              <w:rPr>
                <w:b/>
                <w:bCs/>
                <w:sz w:val="22"/>
                <w:szCs w:val="22"/>
              </w:rPr>
            </w:pPr>
            <w:r>
              <w:rPr>
                <w:rFonts w:hint="eastAsia"/>
                <w:b/>
                <w:bCs/>
                <w:sz w:val="22"/>
                <w:szCs w:val="22"/>
              </w:rPr>
              <w:t>特殊教育</w:t>
            </w:r>
          </w:p>
        </w:tc>
        <w:tc>
          <w:tcPr>
            <w:tcW w:w="1753" w:type="pct"/>
            <w:gridSpan w:val="3"/>
            <w:vMerge w:val="restart"/>
            <w:vAlign w:val="center"/>
          </w:tcPr>
          <w:p>
            <w:pPr>
              <w:spacing w:line="0" w:lineRule="atLeast"/>
              <w:ind w:firstLine="0" w:firstLineChars="0"/>
              <w:jc w:val="center"/>
              <w:rPr>
                <w:sz w:val="22"/>
                <w:szCs w:val="22"/>
              </w:rPr>
            </w:pPr>
            <w:r>
              <w:rPr>
                <w:sz w:val="22"/>
                <w:szCs w:val="22"/>
              </w:rPr>
              <w:t>适龄持证</w:t>
            </w:r>
            <w:r>
              <w:rPr>
                <w:rFonts w:hint="eastAsia"/>
                <w:sz w:val="22"/>
                <w:szCs w:val="22"/>
              </w:rPr>
              <w:t>残疾</w:t>
            </w:r>
            <w:r>
              <w:rPr>
                <w:sz w:val="22"/>
                <w:szCs w:val="22"/>
              </w:rPr>
              <w:t>儿童少年入学率</w:t>
            </w:r>
            <w:r>
              <w:rPr>
                <w:rFonts w:hint="eastAsia"/>
                <w:sz w:val="22"/>
                <w:szCs w:val="22"/>
              </w:rPr>
              <w:t>（%</w:t>
            </w:r>
          </w:p>
        </w:tc>
        <w:tc>
          <w:tcPr>
            <w:tcW w:w="749" w:type="pct"/>
            <w:vAlign w:val="center"/>
          </w:tcPr>
          <w:p>
            <w:pPr>
              <w:spacing w:line="0" w:lineRule="atLeast"/>
              <w:ind w:firstLine="0" w:firstLineChars="0"/>
              <w:jc w:val="center"/>
              <w:rPr>
                <w:sz w:val="22"/>
                <w:szCs w:val="22"/>
              </w:rPr>
            </w:pPr>
            <w:r>
              <w:rPr>
                <w:rFonts w:hint="eastAsia"/>
                <w:sz w:val="22"/>
                <w:szCs w:val="22"/>
              </w:rPr>
              <w:t>学前</w:t>
            </w:r>
            <w:r>
              <w:rPr>
                <w:sz w:val="22"/>
                <w:szCs w:val="22"/>
              </w:rPr>
              <w:t>段</w:t>
            </w:r>
          </w:p>
        </w:tc>
        <w:tc>
          <w:tcPr>
            <w:tcW w:w="1035" w:type="pct"/>
            <w:vAlign w:val="center"/>
          </w:tcPr>
          <w:p>
            <w:pPr>
              <w:spacing w:line="0" w:lineRule="atLeast"/>
              <w:ind w:firstLine="0" w:firstLineChars="0"/>
              <w:jc w:val="center"/>
              <w:rPr>
                <w:sz w:val="22"/>
                <w:szCs w:val="22"/>
              </w:rPr>
            </w:pPr>
            <w:r>
              <w:rPr>
                <w:rFonts w:hint="eastAsia"/>
                <w:sz w:val="22"/>
                <w:szCs w:val="22"/>
              </w:rPr>
              <w:t>＞95</w:t>
            </w:r>
          </w:p>
        </w:tc>
        <w:tc>
          <w:tcPr>
            <w:tcW w:w="1034" w:type="pct"/>
            <w:vAlign w:val="center"/>
          </w:tcPr>
          <w:p>
            <w:pPr>
              <w:spacing w:line="0" w:lineRule="atLeast"/>
              <w:ind w:firstLine="440"/>
              <w:rPr>
                <w:sz w:val="22"/>
                <w:szCs w:val="22"/>
              </w:rPr>
            </w:pPr>
            <w:r>
              <w:rPr>
                <w:rFonts w:hint="eastAsia"/>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1753" w:type="pct"/>
            <w:gridSpan w:val="3"/>
            <w:vMerge w:val="continue"/>
            <w:vAlign w:val="center"/>
          </w:tcPr>
          <w:p>
            <w:pPr>
              <w:spacing w:line="0" w:lineRule="atLeast"/>
              <w:ind w:firstLine="0" w:firstLineChars="0"/>
              <w:jc w:val="center"/>
              <w:rPr>
                <w:sz w:val="22"/>
                <w:szCs w:val="22"/>
              </w:rPr>
            </w:pPr>
          </w:p>
        </w:tc>
        <w:tc>
          <w:tcPr>
            <w:tcW w:w="749" w:type="pct"/>
            <w:vAlign w:val="center"/>
          </w:tcPr>
          <w:p>
            <w:pPr>
              <w:spacing w:line="0" w:lineRule="atLeast"/>
              <w:ind w:firstLine="0" w:firstLineChars="0"/>
              <w:jc w:val="center"/>
              <w:rPr>
                <w:sz w:val="22"/>
                <w:szCs w:val="22"/>
              </w:rPr>
            </w:pPr>
            <w:r>
              <w:rPr>
                <w:sz w:val="22"/>
                <w:szCs w:val="22"/>
              </w:rPr>
              <w:t>义务段</w:t>
            </w:r>
          </w:p>
        </w:tc>
        <w:tc>
          <w:tcPr>
            <w:tcW w:w="1035" w:type="pct"/>
            <w:vAlign w:val="center"/>
          </w:tcPr>
          <w:p>
            <w:pPr>
              <w:spacing w:line="0" w:lineRule="atLeast"/>
              <w:ind w:firstLine="0" w:firstLineChars="0"/>
              <w:jc w:val="center"/>
              <w:rPr>
                <w:sz w:val="22"/>
                <w:szCs w:val="22"/>
              </w:rPr>
            </w:pPr>
            <w:r>
              <w:rPr>
                <w:rFonts w:hint="eastAsia"/>
                <w:sz w:val="22"/>
                <w:szCs w:val="22"/>
              </w:rPr>
              <w:t>1</w:t>
            </w:r>
            <w:r>
              <w:rPr>
                <w:sz w:val="22"/>
                <w:szCs w:val="22"/>
              </w:rPr>
              <w:t>00</w:t>
            </w:r>
          </w:p>
        </w:tc>
        <w:tc>
          <w:tcPr>
            <w:tcW w:w="1034" w:type="pct"/>
            <w:vAlign w:val="center"/>
          </w:tcPr>
          <w:p>
            <w:pPr>
              <w:spacing w:line="0" w:lineRule="atLeast"/>
              <w:ind w:firstLine="440"/>
              <w:rPr>
                <w:sz w:val="22"/>
                <w:szCs w:val="22"/>
              </w:rPr>
            </w:pPr>
            <w:r>
              <w:rPr>
                <w:rFonts w:hint="eastAsia"/>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2"/>
              <w:rPr>
                <w:b/>
                <w:bCs/>
                <w:sz w:val="22"/>
                <w:szCs w:val="22"/>
              </w:rPr>
            </w:pPr>
          </w:p>
        </w:tc>
        <w:tc>
          <w:tcPr>
            <w:tcW w:w="1753" w:type="pct"/>
            <w:gridSpan w:val="3"/>
            <w:vMerge w:val="continue"/>
            <w:vAlign w:val="center"/>
          </w:tcPr>
          <w:p>
            <w:pPr>
              <w:spacing w:line="0" w:lineRule="atLeast"/>
              <w:ind w:firstLine="0" w:firstLineChars="0"/>
              <w:jc w:val="center"/>
              <w:rPr>
                <w:sz w:val="22"/>
                <w:szCs w:val="22"/>
              </w:rPr>
            </w:pPr>
          </w:p>
        </w:tc>
        <w:tc>
          <w:tcPr>
            <w:tcW w:w="749" w:type="pct"/>
            <w:vAlign w:val="center"/>
          </w:tcPr>
          <w:p>
            <w:pPr>
              <w:spacing w:line="0" w:lineRule="atLeast"/>
              <w:ind w:firstLine="0" w:firstLineChars="0"/>
              <w:jc w:val="center"/>
              <w:rPr>
                <w:sz w:val="22"/>
                <w:szCs w:val="22"/>
              </w:rPr>
            </w:pPr>
            <w:r>
              <w:rPr>
                <w:sz w:val="22"/>
                <w:szCs w:val="22"/>
              </w:rPr>
              <w:t>高中段</w:t>
            </w:r>
          </w:p>
        </w:tc>
        <w:tc>
          <w:tcPr>
            <w:tcW w:w="1035" w:type="pct"/>
            <w:vAlign w:val="center"/>
          </w:tcPr>
          <w:p>
            <w:pPr>
              <w:spacing w:line="0" w:lineRule="atLeast"/>
              <w:ind w:firstLine="0" w:firstLineChars="0"/>
              <w:jc w:val="center"/>
              <w:rPr>
                <w:sz w:val="22"/>
                <w:szCs w:val="22"/>
              </w:rPr>
            </w:pPr>
            <w:r>
              <w:rPr>
                <w:rFonts w:hint="eastAsia"/>
                <w:sz w:val="22"/>
                <w:szCs w:val="22"/>
              </w:rPr>
              <w:t>＞85</w:t>
            </w:r>
          </w:p>
        </w:tc>
        <w:tc>
          <w:tcPr>
            <w:tcW w:w="1034" w:type="pct"/>
            <w:vAlign w:val="center"/>
          </w:tcPr>
          <w:p>
            <w:pPr>
              <w:spacing w:line="0" w:lineRule="atLeast"/>
              <w:ind w:firstLine="440"/>
              <w:rPr>
                <w:sz w:val="22"/>
                <w:szCs w:val="22"/>
              </w:rPr>
            </w:pPr>
            <w:r>
              <w:rPr>
                <w:rFonts w:hint="eastAsia"/>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restart"/>
            <w:vAlign w:val="center"/>
          </w:tcPr>
          <w:p>
            <w:pPr>
              <w:spacing w:line="0" w:lineRule="atLeast"/>
              <w:ind w:firstLine="0" w:firstLineChars="0"/>
              <w:jc w:val="center"/>
              <w:rPr>
                <w:b/>
                <w:bCs/>
                <w:sz w:val="22"/>
                <w:szCs w:val="22"/>
              </w:rPr>
            </w:pPr>
            <w:r>
              <w:rPr>
                <w:b/>
                <w:bCs/>
                <w:sz w:val="22"/>
                <w:szCs w:val="22"/>
              </w:rPr>
              <w:t>成人教育</w:t>
            </w:r>
          </w:p>
        </w:tc>
        <w:tc>
          <w:tcPr>
            <w:tcW w:w="2502" w:type="pct"/>
            <w:gridSpan w:val="4"/>
            <w:vAlign w:val="center"/>
          </w:tcPr>
          <w:p>
            <w:pPr>
              <w:spacing w:line="0" w:lineRule="atLeast"/>
              <w:ind w:firstLine="0" w:firstLineChars="0"/>
              <w:jc w:val="center"/>
              <w:rPr>
                <w:sz w:val="22"/>
                <w:szCs w:val="22"/>
              </w:rPr>
            </w:pPr>
            <w:r>
              <w:rPr>
                <w:sz w:val="22"/>
                <w:szCs w:val="22"/>
              </w:rPr>
              <w:t>社会培训参与率，其中老年人参与率</w:t>
            </w:r>
            <w:r>
              <w:rPr>
                <w:rFonts w:hint="eastAsia"/>
                <w:sz w:val="22"/>
                <w:szCs w:val="22"/>
              </w:rPr>
              <w:t>（%）</w:t>
            </w:r>
          </w:p>
        </w:tc>
        <w:tc>
          <w:tcPr>
            <w:tcW w:w="1035" w:type="pct"/>
            <w:vAlign w:val="center"/>
          </w:tcPr>
          <w:p>
            <w:pPr>
              <w:spacing w:line="0" w:lineRule="atLeast"/>
              <w:ind w:firstLine="0" w:firstLineChars="0"/>
              <w:jc w:val="center"/>
              <w:rPr>
                <w:sz w:val="22"/>
                <w:szCs w:val="22"/>
              </w:rPr>
            </w:pPr>
            <w:r>
              <w:rPr>
                <w:rFonts w:hint="eastAsia"/>
                <w:color w:val="000000" w:themeColor="text1"/>
                <w:sz w:val="22"/>
                <w:szCs w:val="22"/>
                <w14:textFill>
                  <w14:solidFill>
                    <w14:schemeClr w14:val="tx1"/>
                  </w14:solidFill>
                </w14:textFill>
              </w:rPr>
              <w:t>5</w:t>
            </w:r>
            <w:r>
              <w:rPr>
                <w:color w:val="000000" w:themeColor="text1"/>
                <w:sz w:val="22"/>
                <w:szCs w:val="22"/>
                <w14:textFill>
                  <w14:solidFill>
                    <w14:schemeClr w14:val="tx1"/>
                  </w14:solidFill>
                </w14:textFill>
              </w:rPr>
              <w:t>0</w:t>
            </w:r>
            <w:r>
              <w:rPr>
                <w:rFonts w:hint="eastAsia"/>
                <w:color w:val="000000" w:themeColor="text1"/>
                <w:sz w:val="22"/>
                <w:szCs w:val="22"/>
                <w14:textFill>
                  <w14:solidFill>
                    <w14:schemeClr w14:val="tx1"/>
                  </w14:solidFill>
                </w14:textFill>
              </w:rPr>
              <w:t>/3</w:t>
            </w:r>
            <w:r>
              <w:rPr>
                <w:color w:val="000000" w:themeColor="text1"/>
                <w:sz w:val="22"/>
                <w:szCs w:val="22"/>
                <w14:textFill>
                  <w14:solidFill>
                    <w14:schemeClr w14:val="tx1"/>
                  </w14:solidFill>
                </w14:textFill>
              </w:rPr>
              <w:t>0</w:t>
            </w:r>
          </w:p>
        </w:tc>
        <w:tc>
          <w:tcPr>
            <w:tcW w:w="1034" w:type="pct"/>
            <w:vAlign w:val="center"/>
          </w:tcPr>
          <w:p>
            <w:pPr>
              <w:spacing w:line="0" w:lineRule="atLeast"/>
              <w:ind w:firstLine="440"/>
              <w:rPr>
                <w:sz w:val="22"/>
                <w:szCs w:val="22"/>
              </w:rPr>
            </w:pPr>
            <w:r>
              <w:rPr>
                <w:rFonts w:hint="eastAsia"/>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0" w:firstLineChars="0"/>
              <w:jc w:val="center"/>
              <w:rPr>
                <w:b/>
                <w:bCs/>
                <w:sz w:val="22"/>
                <w:szCs w:val="22"/>
              </w:rPr>
            </w:pPr>
          </w:p>
        </w:tc>
        <w:tc>
          <w:tcPr>
            <w:tcW w:w="2502" w:type="pct"/>
            <w:gridSpan w:val="4"/>
            <w:vAlign w:val="center"/>
          </w:tcPr>
          <w:p>
            <w:pPr>
              <w:spacing w:line="0" w:lineRule="atLeast"/>
              <w:ind w:firstLine="0" w:firstLineChars="0"/>
              <w:jc w:val="center"/>
              <w:rPr>
                <w:sz w:val="22"/>
                <w:szCs w:val="22"/>
              </w:rPr>
            </w:pPr>
            <w:r>
              <w:rPr>
                <w:rFonts w:hint="eastAsia"/>
                <w:sz w:val="22"/>
                <w:szCs w:val="22"/>
              </w:rPr>
              <w:t>从业人员继续教育（万人次）</w:t>
            </w:r>
          </w:p>
        </w:tc>
        <w:tc>
          <w:tcPr>
            <w:tcW w:w="1035" w:type="pct"/>
            <w:vAlign w:val="center"/>
          </w:tcPr>
          <w:p>
            <w:pPr>
              <w:spacing w:line="0" w:lineRule="atLeast"/>
              <w:ind w:firstLine="0" w:firstLineChars="0"/>
              <w:jc w:val="center"/>
              <w:rPr>
                <w:sz w:val="22"/>
                <w:szCs w:val="22"/>
              </w:rPr>
            </w:pPr>
            <w:r>
              <w:rPr>
                <w:rFonts w:hint="eastAsia"/>
                <w:sz w:val="22"/>
                <w:szCs w:val="22"/>
              </w:rPr>
              <w:t>4</w:t>
            </w:r>
          </w:p>
        </w:tc>
        <w:tc>
          <w:tcPr>
            <w:tcW w:w="1034" w:type="pct"/>
            <w:vAlign w:val="center"/>
          </w:tcPr>
          <w:p>
            <w:pPr>
              <w:spacing w:line="0" w:lineRule="atLeast"/>
              <w:ind w:firstLine="440"/>
              <w:rPr>
                <w:sz w:val="22"/>
                <w:szCs w:val="22"/>
              </w:rPr>
            </w:pPr>
            <w:r>
              <w:rPr>
                <w:rFonts w:hint="eastAsia"/>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restart"/>
            <w:vAlign w:val="center"/>
          </w:tcPr>
          <w:p>
            <w:pPr>
              <w:spacing w:line="0" w:lineRule="atLeast"/>
              <w:ind w:firstLine="0" w:firstLineChars="0"/>
              <w:jc w:val="center"/>
              <w:rPr>
                <w:b/>
                <w:bCs/>
                <w:sz w:val="22"/>
                <w:szCs w:val="22"/>
              </w:rPr>
            </w:pPr>
            <w:r>
              <w:rPr>
                <w:b/>
                <w:bCs/>
                <w:sz w:val="22"/>
                <w:szCs w:val="22"/>
              </w:rPr>
              <w:t>综合发展</w:t>
            </w:r>
          </w:p>
        </w:tc>
        <w:tc>
          <w:tcPr>
            <w:tcW w:w="2502" w:type="pct"/>
            <w:gridSpan w:val="4"/>
            <w:vAlign w:val="center"/>
          </w:tcPr>
          <w:p>
            <w:pPr>
              <w:spacing w:line="0" w:lineRule="atLeast"/>
              <w:ind w:firstLine="0" w:firstLineChars="0"/>
              <w:jc w:val="center"/>
              <w:rPr>
                <w:sz w:val="22"/>
                <w:szCs w:val="22"/>
              </w:rPr>
            </w:pPr>
            <w:r>
              <w:rPr>
                <w:sz w:val="22"/>
                <w:szCs w:val="22"/>
              </w:rPr>
              <w:t>教育现代化发展水平监测得分</w:t>
            </w:r>
          </w:p>
        </w:tc>
        <w:tc>
          <w:tcPr>
            <w:tcW w:w="1035" w:type="pct"/>
            <w:vAlign w:val="center"/>
          </w:tcPr>
          <w:p>
            <w:pPr>
              <w:spacing w:line="0" w:lineRule="atLeast"/>
              <w:ind w:firstLine="0" w:firstLineChars="0"/>
              <w:jc w:val="center"/>
              <w:rPr>
                <w:sz w:val="22"/>
                <w:szCs w:val="22"/>
              </w:rPr>
            </w:pPr>
            <w:r>
              <w:rPr>
                <w:rFonts w:hint="eastAsia"/>
                <w:sz w:val="22"/>
                <w:szCs w:val="22"/>
              </w:rPr>
              <w:t>80</w:t>
            </w:r>
          </w:p>
        </w:tc>
        <w:tc>
          <w:tcPr>
            <w:tcW w:w="1034" w:type="pct"/>
            <w:vAlign w:val="center"/>
          </w:tcPr>
          <w:p>
            <w:pPr>
              <w:spacing w:line="0" w:lineRule="atLeast"/>
              <w:ind w:firstLine="440"/>
              <w:rPr>
                <w:sz w:val="22"/>
                <w:szCs w:val="22"/>
              </w:rPr>
            </w:pPr>
            <w:r>
              <w:rPr>
                <w:rFonts w:hint="eastAsia"/>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0" w:firstLineChars="0"/>
              <w:jc w:val="center"/>
              <w:rPr>
                <w:b/>
                <w:bCs/>
                <w:sz w:val="22"/>
                <w:szCs w:val="22"/>
              </w:rPr>
            </w:pPr>
          </w:p>
        </w:tc>
        <w:tc>
          <w:tcPr>
            <w:tcW w:w="2502" w:type="pct"/>
            <w:gridSpan w:val="4"/>
            <w:vAlign w:val="center"/>
          </w:tcPr>
          <w:p>
            <w:pPr>
              <w:spacing w:line="0" w:lineRule="atLeast"/>
              <w:ind w:firstLine="0" w:firstLineChars="0"/>
              <w:jc w:val="center"/>
              <w:rPr>
                <w:sz w:val="22"/>
                <w:szCs w:val="22"/>
              </w:rPr>
            </w:pPr>
            <w:r>
              <w:rPr>
                <w:sz w:val="22"/>
                <w:szCs w:val="22"/>
              </w:rPr>
              <w:t>社会公众教育工作满意度</w:t>
            </w:r>
          </w:p>
        </w:tc>
        <w:tc>
          <w:tcPr>
            <w:tcW w:w="1035" w:type="pct"/>
            <w:vAlign w:val="center"/>
          </w:tcPr>
          <w:p>
            <w:pPr>
              <w:spacing w:line="0" w:lineRule="atLeast"/>
              <w:ind w:firstLine="0" w:firstLineChars="0"/>
              <w:jc w:val="center"/>
              <w:rPr>
                <w:sz w:val="22"/>
                <w:szCs w:val="22"/>
              </w:rPr>
            </w:pPr>
            <w:r>
              <w:rPr>
                <w:rFonts w:hint="eastAsia"/>
                <w:sz w:val="22"/>
                <w:szCs w:val="22"/>
              </w:rPr>
              <w:t>85</w:t>
            </w:r>
          </w:p>
        </w:tc>
        <w:tc>
          <w:tcPr>
            <w:tcW w:w="1034" w:type="pct"/>
            <w:vAlign w:val="center"/>
          </w:tcPr>
          <w:p>
            <w:pPr>
              <w:spacing w:line="0" w:lineRule="atLeast"/>
              <w:ind w:firstLine="440"/>
              <w:rPr>
                <w:sz w:val="22"/>
                <w:szCs w:val="22"/>
              </w:rPr>
            </w:pPr>
            <w:r>
              <w:rPr>
                <w:rFonts w:hint="eastAsia"/>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0"/>
              <w:rPr>
                <w:sz w:val="22"/>
                <w:szCs w:val="22"/>
              </w:rPr>
            </w:pPr>
          </w:p>
        </w:tc>
        <w:tc>
          <w:tcPr>
            <w:tcW w:w="2502" w:type="pct"/>
            <w:gridSpan w:val="4"/>
            <w:vAlign w:val="center"/>
          </w:tcPr>
          <w:p>
            <w:pPr>
              <w:spacing w:line="0" w:lineRule="atLeast"/>
              <w:ind w:firstLine="0" w:firstLineChars="0"/>
              <w:jc w:val="center"/>
              <w:rPr>
                <w:sz w:val="22"/>
                <w:szCs w:val="22"/>
              </w:rPr>
            </w:pPr>
            <w:r>
              <w:rPr>
                <w:sz w:val="22"/>
                <w:szCs w:val="22"/>
              </w:rPr>
              <w:t>现代化学校创建数</w:t>
            </w:r>
            <w:r>
              <w:rPr>
                <w:rFonts w:hint="eastAsia"/>
                <w:sz w:val="22"/>
                <w:szCs w:val="22"/>
              </w:rPr>
              <w:t>（所）</w:t>
            </w:r>
          </w:p>
        </w:tc>
        <w:tc>
          <w:tcPr>
            <w:tcW w:w="1035" w:type="pct"/>
            <w:vAlign w:val="center"/>
          </w:tcPr>
          <w:p>
            <w:pPr>
              <w:spacing w:line="0" w:lineRule="atLeast"/>
              <w:ind w:firstLine="0" w:firstLineChars="0"/>
              <w:jc w:val="center"/>
              <w:rPr>
                <w:sz w:val="22"/>
                <w:szCs w:val="22"/>
              </w:rPr>
            </w:pPr>
            <w:r>
              <w:rPr>
                <w:rFonts w:hint="eastAsia"/>
                <w:sz w:val="22"/>
                <w:szCs w:val="22"/>
              </w:rPr>
              <w:t>15</w:t>
            </w:r>
          </w:p>
        </w:tc>
        <w:tc>
          <w:tcPr>
            <w:tcW w:w="1034" w:type="pct"/>
            <w:vAlign w:val="center"/>
          </w:tcPr>
          <w:p>
            <w:pPr>
              <w:spacing w:line="0" w:lineRule="atLeast"/>
              <w:ind w:firstLine="440"/>
              <w:rPr>
                <w:sz w:val="22"/>
                <w:szCs w:val="22"/>
              </w:rPr>
            </w:pPr>
            <w:r>
              <w:rPr>
                <w:rFonts w:hint="eastAsia"/>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0"/>
              <w:rPr>
                <w:sz w:val="22"/>
                <w:szCs w:val="22"/>
              </w:rPr>
            </w:pPr>
          </w:p>
        </w:tc>
        <w:tc>
          <w:tcPr>
            <w:tcW w:w="2502" w:type="pct"/>
            <w:gridSpan w:val="4"/>
            <w:vAlign w:val="center"/>
          </w:tcPr>
          <w:p>
            <w:pPr>
              <w:spacing w:line="0" w:lineRule="atLeast"/>
              <w:ind w:firstLine="0" w:firstLineChars="0"/>
              <w:jc w:val="center"/>
              <w:rPr>
                <w:sz w:val="22"/>
                <w:szCs w:val="22"/>
              </w:rPr>
            </w:pPr>
            <w:r>
              <w:rPr>
                <w:rFonts w:hint="eastAsia"/>
                <w:sz w:val="22"/>
                <w:szCs w:val="22"/>
              </w:rPr>
              <w:t>劳动年龄人口预期受教育年限（年）</w:t>
            </w:r>
          </w:p>
        </w:tc>
        <w:tc>
          <w:tcPr>
            <w:tcW w:w="1035" w:type="pct"/>
            <w:vAlign w:val="center"/>
          </w:tcPr>
          <w:p>
            <w:pPr>
              <w:spacing w:line="0" w:lineRule="atLeast"/>
              <w:ind w:firstLine="0" w:firstLineChars="0"/>
              <w:jc w:val="center"/>
              <w:rPr>
                <w:sz w:val="22"/>
                <w:szCs w:val="22"/>
              </w:rPr>
            </w:pPr>
            <w:r>
              <w:rPr>
                <w:rFonts w:hint="eastAsia"/>
                <w:sz w:val="22"/>
                <w:szCs w:val="22"/>
              </w:rPr>
              <w:t>1</w:t>
            </w:r>
            <w:r>
              <w:rPr>
                <w:sz w:val="22"/>
                <w:szCs w:val="22"/>
              </w:rPr>
              <w:t>2</w:t>
            </w:r>
          </w:p>
        </w:tc>
        <w:tc>
          <w:tcPr>
            <w:tcW w:w="1034" w:type="pct"/>
            <w:vAlign w:val="center"/>
          </w:tcPr>
          <w:p>
            <w:pPr>
              <w:spacing w:line="0" w:lineRule="atLeast"/>
              <w:ind w:firstLine="440"/>
              <w:rPr>
                <w:sz w:val="22"/>
                <w:szCs w:val="22"/>
              </w:rPr>
            </w:pPr>
            <w:r>
              <w:rPr>
                <w:rFonts w:hint="eastAsia"/>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spacing w:line="0" w:lineRule="atLeast"/>
              <w:ind w:firstLine="440"/>
              <w:rPr>
                <w:sz w:val="22"/>
                <w:szCs w:val="22"/>
              </w:rPr>
            </w:pPr>
          </w:p>
        </w:tc>
        <w:tc>
          <w:tcPr>
            <w:tcW w:w="2502" w:type="pct"/>
            <w:gridSpan w:val="4"/>
            <w:vAlign w:val="center"/>
          </w:tcPr>
          <w:p>
            <w:pPr>
              <w:spacing w:line="0" w:lineRule="atLeast"/>
              <w:ind w:firstLine="0" w:firstLineChars="0"/>
              <w:jc w:val="center"/>
              <w:rPr>
                <w:sz w:val="22"/>
                <w:szCs w:val="22"/>
              </w:rPr>
            </w:pPr>
            <w:r>
              <w:rPr>
                <w:rFonts w:hint="eastAsia"/>
                <w:sz w:val="22"/>
                <w:szCs w:val="22"/>
              </w:rPr>
              <w:t>儿童预期</w:t>
            </w:r>
            <w:r>
              <w:rPr>
                <w:sz w:val="22"/>
                <w:szCs w:val="22"/>
              </w:rPr>
              <w:t>受教育年限</w:t>
            </w:r>
            <w:r>
              <w:rPr>
                <w:rFonts w:hint="eastAsia"/>
                <w:sz w:val="22"/>
                <w:szCs w:val="22"/>
              </w:rPr>
              <w:t>（年）</w:t>
            </w:r>
          </w:p>
        </w:tc>
        <w:tc>
          <w:tcPr>
            <w:tcW w:w="1035" w:type="pct"/>
            <w:vAlign w:val="center"/>
          </w:tcPr>
          <w:p>
            <w:pPr>
              <w:spacing w:line="0" w:lineRule="atLeast"/>
              <w:ind w:firstLine="0" w:firstLineChars="0"/>
              <w:jc w:val="center"/>
              <w:rPr>
                <w:sz w:val="22"/>
                <w:szCs w:val="22"/>
              </w:rPr>
            </w:pPr>
            <w:r>
              <w:rPr>
                <w:rFonts w:hint="eastAsia"/>
                <w:sz w:val="22"/>
                <w:szCs w:val="22"/>
              </w:rPr>
              <w:t>≥15.5</w:t>
            </w:r>
          </w:p>
        </w:tc>
        <w:tc>
          <w:tcPr>
            <w:tcW w:w="1034" w:type="pct"/>
            <w:vAlign w:val="center"/>
          </w:tcPr>
          <w:p>
            <w:pPr>
              <w:spacing w:line="0" w:lineRule="atLeast"/>
              <w:ind w:firstLine="440"/>
              <w:rPr>
                <w:sz w:val="22"/>
                <w:szCs w:val="22"/>
              </w:rPr>
            </w:pPr>
            <w:r>
              <w:rPr>
                <w:rFonts w:hint="eastAsia"/>
                <w:sz w:val="22"/>
                <w:szCs w:val="22"/>
              </w:rPr>
              <w:t>预期性</w:t>
            </w:r>
          </w:p>
        </w:tc>
      </w:tr>
      <w:bookmarkEnd w:id="92"/>
    </w:tbl>
    <w:p>
      <w:pPr>
        <w:pStyle w:val="3"/>
      </w:pPr>
      <w:bookmarkStart w:id="93" w:name="_Toc2589"/>
      <w:bookmarkStart w:id="94" w:name="_Toc27751"/>
      <w:bookmarkStart w:id="95" w:name="_Toc21322"/>
      <w:bookmarkStart w:id="96" w:name="_Toc6959"/>
      <w:bookmarkStart w:id="97" w:name="_Toc20985"/>
      <w:bookmarkStart w:id="98" w:name="_Toc27312"/>
      <w:bookmarkStart w:id="99" w:name="_Toc13776"/>
      <w:bookmarkStart w:id="100" w:name="_Toc82850585"/>
      <w:bookmarkStart w:id="101" w:name="_Toc66825167"/>
      <w:r>
        <w:rPr>
          <w:rFonts w:hint="eastAsia"/>
        </w:rPr>
        <w:t>四、</w:t>
      </w:r>
      <w:bookmarkEnd w:id="93"/>
      <w:bookmarkEnd w:id="94"/>
      <w:bookmarkEnd w:id="95"/>
      <w:bookmarkEnd w:id="96"/>
      <w:bookmarkEnd w:id="97"/>
      <w:r>
        <w:t>主要任务</w:t>
      </w:r>
      <w:bookmarkEnd w:id="98"/>
      <w:bookmarkEnd w:id="99"/>
      <w:bookmarkEnd w:id="100"/>
      <w:bookmarkEnd w:id="101"/>
    </w:p>
    <w:p>
      <w:pPr>
        <w:rPr>
          <w:b/>
          <w:bCs/>
        </w:rPr>
      </w:pPr>
      <w:bookmarkStart w:id="102" w:name="_Toc21602"/>
      <w:bookmarkStart w:id="103" w:name="_Toc25457"/>
      <w:bookmarkStart w:id="104" w:name="_Toc13894"/>
      <w:bookmarkStart w:id="105" w:name="_Toc4400"/>
      <w:bookmarkStart w:id="106" w:name="_Toc20588"/>
      <w:bookmarkStart w:id="107" w:name="_Toc6118"/>
      <w:bookmarkStart w:id="108" w:name="_Toc8063"/>
      <w:bookmarkStart w:id="109" w:name="_Toc66825168"/>
      <w:r>
        <w:rPr>
          <w:rFonts w:hint="eastAsia"/>
        </w:rPr>
        <w:t>“十四五”期间，奉化要围绕“打造‘全域美丽’最美教育样板”，打造更美生态教育，引导全社会形成更加重视教育、关心教育、理解教育、支持教育的良好氛围；打造更美校园风貌，构筑硬件设施更优、文化氛围更浓、教师素养更高的美丽校园新格局；打造更美优质品牌，努力建设家长不焦虑、群众交口赞、社会口碑好的一流奉化教育；打造更美民生服务，实施强有力的惠民措施，不断破解群众反映强烈的热点问题。具体任务有：</w:t>
      </w:r>
    </w:p>
    <w:p>
      <w:pPr>
        <w:pStyle w:val="4"/>
        <w:ind w:firstLine="640"/>
      </w:pPr>
      <w:bookmarkStart w:id="110" w:name="_Toc82850586"/>
      <w:r>
        <w:rPr>
          <w:rFonts w:hint="eastAsia"/>
        </w:rPr>
        <w:t>（一）</w:t>
      </w:r>
      <w:bookmarkEnd w:id="102"/>
      <w:bookmarkEnd w:id="103"/>
      <w:bookmarkEnd w:id="104"/>
      <w:bookmarkEnd w:id="105"/>
      <w:bookmarkEnd w:id="106"/>
      <w:r>
        <w:rPr>
          <w:rFonts w:hint="eastAsia"/>
        </w:rPr>
        <w:t>加快学前教育优质普惠发展</w:t>
      </w:r>
      <w:bookmarkEnd w:id="107"/>
      <w:bookmarkEnd w:id="108"/>
      <w:bookmarkEnd w:id="109"/>
      <w:bookmarkEnd w:id="110"/>
    </w:p>
    <w:p>
      <w:bookmarkStart w:id="111" w:name="_Toc63879886"/>
      <w:bookmarkStart w:id="112" w:name="_Toc63878560"/>
      <w:r>
        <w:rPr>
          <w:rFonts w:hint="eastAsia"/>
        </w:rPr>
        <w:t>贯彻落实《中共浙江省委浙江省人民政府关于学前教育深化</w:t>
      </w:r>
      <w:bookmarkEnd w:id="111"/>
      <w:bookmarkStart w:id="113" w:name="_Toc63879887"/>
      <w:r>
        <w:rPr>
          <w:rFonts w:hint="eastAsia"/>
        </w:rPr>
        <w:t>改革规范发展的实施意见》，推动学前教育普及程度和水平持续提高，办园结构显著优化，经费保障机制更加完善，城镇小区配套幼儿园建设和使用规范有序，农村薄弱幼儿园改造全面完成。全面建成覆盖城乡、布局合理、公益普惠、优质均衡、监管完善的学前教育公共服务</w:t>
      </w:r>
      <w:bookmarkEnd w:id="112"/>
      <w:r>
        <w:rPr>
          <w:rFonts w:hint="eastAsia"/>
        </w:rPr>
        <w:t>体系。</w:t>
      </w:r>
      <w:bookmarkEnd w:id="113"/>
      <w:bookmarkStart w:id="114" w:name="_Toc3922"/>
      <w:bookmarkStart w:id="115" w:name="_Toc25928"/>
      <w:bookmarkStart w:id="116" w:name="_Toc15471"/>
      <w:bookmarkStart w:id="117" w:name="_Toc5404"/>
      <w:bookmarkStart w:id="118" w:name="_Toc12047"/>
    </w:p>
    <w:p>
      <w:pPr>
        <w:ind w:firstLine="643"/>
      </w:pPr>
      <w:bookmarkStart w:id="119" w:name="_Toc29739"/>
      <w:bookmarkStart w:id="120" w:name="_Toc66825169"/>
      <w:bookmarkStart w:id="121" w:name="_Toc22709"/>
      <w:r>
        <w:rPr>
          <w:rFonts w:hint="eastAsia"/>
          <w:b/>
        </w:rPr>
        <w:t>健全学前教育保障体系。</w:t>
      </w:r>
      <w:r>
        <w:rPr>
          <w:rFonts w:hint="eastAsia"/>
        </w:rPr>
        <w:t>建立健全覆盖城乡、优质普惠的学前教育公共服务体系。切实履行学前教育发展的政府责任，加强公办幼儿园的布局规划、资源供给、教师配备、经费保障、质量提升和监督管理，实现乡镇公办中心幼儿园全覆盖。加大学前教育投入，强化学前教育生均日常公用经费投入机制，优化民办幼儿园扶持机制，加大对农村公办幼儿园、二级以上普惠性幼儿园的补助。</w:t>
      </w:r>
      <w:r>
        <w:t>提升</w:t>
      </w:r>
      <w:r>
        <w:rPr>
          <w:rFonts w:hint="eastAsia"/>
        </w:rPr>
        <w:t>农村学前教育</w:t>
      </w:r>
      <w:r>
        <w:t>办学条件</w:t>
      </w:r>
      <w:r>
        <w:rPr>
          <w:rFonts w:hint="eastAsia"/>
        </w:rPr>
        <w:t>，加大薄弱幼儿园改造，提升办园品质。</w:t>
      </w:r>
    </w:p>
    <w:p>
      <w:pPr>
        <w:ind w:firstLine="643"/>
        <w:rPr>
          <w:bCs/>
        </w:rPr>
      </w:pPr>
      <w:r>
        <w:rPr>
          <w:rFonts w:hint="eastAsia"/>
          <w:b/>
        </w:rPr>
        <w:t>加强</w:t>
      </w:r>
      <w:r>
        <w:rPr>
          <w:b/>
        </w:rPr>
        <w:t>学前</w:t>
      </w:r>
      <w:r>
        <w:rPr>
          <w:rFonts w:hint="eastAsia"/>
          <w:b/>
        </w:rPr>
        <w:t>教育保教队伍建设。</w:t>
      </w:r>
      <w:r>
        <w:rPr>
          <w:rFonts w:hint="eastAsia"/>
          <w:bCs/>
        </w:rPr>
        <w:t>拓宽人员引进渠道，按照标准配齐各类保教人员。</w:t>
      </w:r>
      <w:r>
        <w:rPr>
          <w:rFonts w:hint="eastAsia"/>
        </w:rPr>
        <w:t>健全学前教育从业人员准入制度，加强幼儿教师多渠道培养，与高等院校合作，争取开设幼儿教育大专班。</w:t>
      </w:r>
      <w:bookmarkStart w:id="122" w:name="_Hlk54732464"/>
      <w:r>
        <w:rPr>
          <w:rFonts w:hint="eastAsia"/>
        </w:rPr>
        <w:t>依法保障幼儿园教师地位和待遇</w:t>
      </w:r>
      <w:bookmarkEnd w:id="122"/>
      <w:r>
        <w:rPr>
          <w:rFonts w:hint="eastAsia"/>
        </w:rPr>
        <w:t>，提高普惠性民办幼儿园非编教师工资待遇。加强保育员队伍专业化建设，提升其专业素养。依法保障幼儿园教师待遇，推进幼儿园公民办一体化管理。</w:t>
      </w:r>
    </w:p>
    <w:p>
      <w:pPr>
        <w:ind w:firstLine="643"/>
      </w:pPr>
      <w:r>
        <w:rPr>
          <w:rFonts w:hint="eastAsia"/>
          <w:b/>
        </w:rPr>
        <w:t>提升学前教育保教质量。</w:t>
      </w:r>
      <w:r>
        <w:rPr>
          <w:rFonts w:hint="eastAsia"/>
        </w:rPr>
        <w:t>遵循幼儿身心发展规律，树立科学保教理念，创新符合幼儿发展规律的教养模式。加强学前教育课程与教学</w:t>
      </w:r>
      <w:r>
        <w:t>改革</w:t>
      </w:r>
      <w:r>
        <w:rPr>
          <w:rFonts w:hint="eastAsia"/>
        </w:rPr>
        <w:t>研究，</w:t>
      </w:r>
      <w:r>
        <w:t>推动</w:t>
      </w:r>
      <w:r>
        <w:rPr>
          <w:rFonts w:hint="eastAsia"/>
        </w:rPr>
        <w:t>全市</w:t>
      </w:r>
      <w:r>
        <w:t>幼儿园课程改革全覆盖</w:t>
      </w:r>
      <w:r>
        <w:rPr>
          <w:rFonts w:hint="eastAsia"/>
        </w:rPr>
        <w:t>，全面提升学前教育课程实施质量。切实加强对各类幼儿园保教质量、规范办园、教师队伍建设等方面的监测评估，防止学前教育“小学化”倾向。完善学前教育管理体制，大力推进集团化办园模式。</w:t>
      </w:r>
    </w:p>
    <w:tbl>
      <w:tblPr>
        <w:tblStyle w:val="24"/>
        <w:tblpPr w:leftFromText="180" w:rightFromText="180" w:vertAnchor="page" w:horzAnchor="margin" w:tblpXSpec="center" w:tblpY="78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541" w:type="dxa"/>
          </w:tcPr>
          <w:p>
            <w:pPr>
              <w:ind w:firstLine="0" w:firstLineChars="0"/>
              <w:jc w:val="center"/>
              <w:rPr>
                <w:b/>
                <w:bCs/>
                <w:sz w:val="28"/>
                <w:szCs w:val="28"/>
              </w:rPr>
            </w:pPr>
            <w:r>
              <w:rPr>
                <w:rFonts w:hint="eastAsia"/>
                <w:b/>
                <w:bCs/>
                <w:sz w:val="28"/>
                <w:szCs w:val="28"/>
              </w:rPr>
              <w:t>专栏1</w:t>
            </w:r>
            <w:r>
              <w:rPr>
                <w:b/>
                <w:bCs/>
                <w:sz w:val="28"/>
                <w:szCs w:val="28"/>
              </w:rPr>
              <w:t xml:space="preserve"> </w:t>
            </w:r>
            <w:r>
              <w:rPr>
                <w:rFonts w:hint="eastAsia"/>
                <w:b/>
                <w:bCs/>
                <w:sz w:val="28"/>
                <w:szCs w:val="28"/>
              </w:rPr>
              <w:t>学前教育优质发展与深化改革工程</w:t>
            </w:r>
          </w:p>
          <w:p>
            <w:pPr>
              <w:ind w:firstLine="560"/>
              <w:rPr>
                <w:sz w:val="28"/>
                <w:szCs w:val="28"/>
              </w:rPr>
            </w:pPr>
            <w:r>
              <w:rPr>
                <w:rFonts w:hint="eastAsia"/>
                <w:sz w:val="28"/>
                <w:szCs w:val="28"/>
              </w:rPr>
              <w:t>开展学前教育深化改革规范发展行动，编制出台《奉化区关于学前教育深化改革规范发展的实施意见》，开展公办园在园幼儿占比提升工程，至2025年达到60%以上。开展二级及以上优质园创建行动，全面提高幼儿园整体办园水平。</w:t>
            </w:r>
            <w:r>
              <w:rPr>
                <w:sz w:val="28"/>
                <w:szCs w:val="28"/>
              </w:rPr>
              <w:t>学前教育</w:t>
            </w:r>
            <w:r>
              <w:rPr>
                <w:rFonts w:hint="eastAsia"/>
                <w:sz w:val="28"/>
                <w:szCs w:val="28"/>
              </w:rPr>
              <w:t>计划</w:t>
            </w:r>
            <w:r>
              <w:rPr>
                <w:sz w:val="28"/>
                <w:szCs w:val="28"/>
              </w:rPr>
              <w:t>新建幼儿园</w:t>
            </w:r>
            <w:r>
              <w:rPr>
                <w:rFonts w:hint="eastAsia"/>
                <w:sz w:val="28"/>
                <w:szCs w:val="28"/>
              </w:rPr>
              <w:t>2</w:t>
            </w:r>
            <w:r>
              <w:rPr>
                <w:sz w:val="28"/>
                <w:szCs w:val="28"/>
              </w:rPr>
              <w:t>7所</w:t>
            </w:r>
            <w:r>
              <w:rPr>
                <w:rFonts w:hint="eastAsia"/>
                <w:sz w:val="28"/>
                <w:szCs w:val="28"/>
              </w:rPr>
              <w:t>，幼儿园教师持证率100%，足额配备保教人员。</w:t>
            </w:r>
          </w:p>
          <w:p>
            <w:pPr>
              <w:pStyle w:val="2"/>
              <w:ind w:firstLine="0" w:firstLineChars="0"/>
              <w:jc w:val="center"/>
              <w:rPr>
                <w:b/>
                <w:bCs/>
                <w:sz w:val="28"/>
                <w:szCs w:val="28"/>
              </w:rPr>
            </w:pPr>
            <w:r>
              <w:rPr>
                <w:rFonts w:hint="eastAsia"/>
                <w:b/>
                <w:bCs/>
                <w:sz w:val="28"/>
                <w:szCs w:val="28"/>
              </w:rPr>
              <w:t>专栏2 学前教育保教质量促进行动</w:t>
            </w:r>
          </w:p>
          <w:p>
            <w:pPr>
              <w:pStyle w:val="2"/>
              <w:ind w:firstLine="560"/>
            </w:pPr>
            <w:r>
              <w:rPr>
                <w:rFonts w:hint="eastAsia"/>
                <w:sz w:val="28"/>
                <w:szCs w:val="28"/>
              </w:rPr>
              <w:t>坚持以游戏为基本活动，结合农村、城镇的不同特点，因地制宜开展以儿童发展为本的实践探索；优化课程体系、保教体系，探索形成幼儿园保教质量评价监测体系。</w:t>
            </w:r>
          </w:p>
        </w:tc>
      </w:tr>
    </w:tbl>
    <w:p>
      <w:pPr>
        <w:pStyle w:val="4"/>
        <w:ind w:firstLine="640"/>
      </w:pPr>
      <w:bookmarkStart w:id="123" w:name="_Toc82850587"/>
      <w:r>
        <w:rPr>
          <w:rFonts w:hint="eastAsia"/>
        </w:rPr>
        <w:t>（二）</w:t>
      </w:r>
      <w:bookmarkEnd w:id="114"/>
      <w:bookmarkEnd w:id="115"/>
      <w:bookmarkEnd w:id="116"/>
      <w:bookmarkEnd w:id="117"/>
      <w:bookmarkEnd w:id="118"/>
      <w:r>
        <w:rPr>
          <w:rFonts w:hint="eastAsia"/>
        </w:rPr>
        <w:t>促进基础教育高质量发展</w:t>
      </w:r>
      <w:bookmarkEnd w:id="119"/>
      <w:bookmarkEnd w:id="120"/>
      <w:bookmarkEnd w:id="121"/>
      <w:bookmarkEnd w:id="123"/>
    </w:p>
    <w:p>
      <w:r>
        <w:rPr>
          <w:rFonts w:hint="eastAsia"/>
        </w:rPr>
        <w:t>以高质量为主题，以体系建设为重点，加快促进高水平高质量的基础教育发展。进一步推进城乡义务教育一体化发展，不断提高义务教育的规范性、公平性与优质性；建成布局合理、学段衔接、普职融通、医教结合“全程·融通”的特殊教育体系，实现3-18岁残疾儿童少年医教结合全覆盖；形成科技、人文、体艺、综合等不同类型的普通高中格局。</w:t>
      </w:r>
    </w:p>
    <w:p>
      <w:pPr>
        <w:ind w:firstLine="643"/>
        <w:rPr>
          <w:b/>
          <w:bCs/>
        </w:rPr>
      </w:pPr>
      <w:bookmarkStart w:id="124" w:name="_Toc4458"/>
      <w:bookmarkStart w:id="125" w:name="_Toc66825170"/>
      <w:bookmarkStart w:id="126" w:name="_Toc552"/>
      <w:r>
        <w:rPr>
          <w:rFonts w:hint="eastAsia"/>
          <w:b/>
          <w:bCs/>
        </w:rPr>
        <w:t>促进义务教育优质均衡发展</w:t>
      </w:r>
      <w:bookmarkEnd w:id="124"/>
      <w:bookmarkEnd w:id="125"/>
      <w:bookmarkEnd w:id="126"/>
      <w:r>
        <w:rPr>
          <w:rFonts w:hint="eastAsia"/>
          <w:b/>
          <w:bCs/>
        </w:rPr>
        <w:t>。</w:t>
      </w:r>
      <w:r>
        <w:rPr>
          <w:rFonts w:hint="eastAsia"/>
        </w:rPr>
        <w:t>实施乡村教育振兴行动，推进城乡义务教育共同体建设，深化“互联网+义务教育”结对帮扶。深化中小学课后托管服务，规范民办义务教育学校办学行为。统筹推动义务教育优质均衡，让奉化学子享受与宁波主城区基本同等的教育水平，擦亮“学在奉化”品牌。</w:t>
      </w:r>
      <w:r>
        <w:rPr>
          <w:rFonts w:hint="eastAsia"/>
          <w:shd w:val="clear" w:color="auto" w:fill="FFFFFF"/>
          <w:lang w:bidi="ar"/>
        </w:rPr>
        <w:t>探索开展“学区协作，问题导向，联校行动，资源共享”。尝试组建教育集团，探索集团化办学路径，采用“名校带新校”“名校扶弱校”“名校管民校”“城校连农村校”等，积极探索“兜底普惠”与英才育人相统一的教育发展方式。深入推进“小学强基”“初中强校”双强工程，按照“特色项目——特色课程——学校特色——特色学校”的分阶段发展思路，加强学校课程体系建设，逐步形成“一校一品”，特色学校创建在宁波市内及至省内有一定影响力。</w:t>
      </w:r>
    </w:p>
    <w:p>
      <w:pPr>
        <w:ind w:firstLine="643"/>
      </w:pPr>
      <w:bookmarkStart w:id="127" w:name="_Toc66825171"/>
      <w:bookmarkStart w:id="128" w:name="_Toc13969"/>
      <w:bookmarkStart w:id="129" w:name="_Toc12955"/>
      <w:r>
        <w:rPr>
          <w:rFonts w:hint="eastAsia"/>
          <w:b/>
          <w:bCs/>
        </w:rPr>
        <w:t>实现高中教育多元特色发展</w:t>
      </w:r>
      <w:bookmarkEnd w:id="127"/>
      <w:bookmarkEnd w:id="128"/>
      <w:bookmarkEnd w:id="129"/>
      <w:bookmarkStart w:id="130" w:name="_Hlk46502639"/>
      <w:r>
        <w:rPr>
          <w:rFonts w:hint="eastAsia"/>
          <w:b/>
          <w:bCs/>
        </w:rPr>
        <w:t>。</w:t>
      </w:r>
      <w:r>
        <w:rPr>
          <w:rFonts w:hint="eastAsia"/>
          <w:shd w:val="clear" w:color="auto" w:fill="FFFFFF"/>
          <w:lang w:bidi="ar"/>
        </w:rPr>
        <w:t>加大普通高中学校资源供给，高中段普职协调发展。深入实施普高“攻坚计划”，以《浙江省现代化学校评估标准》为依据，开展普通高中“学术型高中、科学高中、科技高中、人文高中、艺术高中、体育高中”等不同办学特色建设。到2025年，5所普高根据校情，因地制宜，形成自身的优势学科、特色课程体系、办学特色，推动由分层办学向分类办学转变。</w:t>
      </w:r>
    </w:p>
    <w:p>
      <w:pPr>
        <w:ind w:firstLine="643"/>
        <w:rPr>
          <w:shd w:val="clear" w:color="auto" w:fill="FFFFFF"/>
          <w:lang w:bidi="ar"/>
        </w:rPr>
      </w:pPr>
      <w:bookmarkStart w:id="131" w:name="_Toc9312"/>
      <w:bookmarkStart w:id="132" w:name="_Toc2447"/>
      <w:bookmarkStart w:id="133" w:name="_Toc66825172"/>
      <w:r>
        <w:rPr>
          <w:rFonts w:hint="eastAsia"/>
          <w:b/>
          <w:bCs/>
          <w:shd w:val="clear" w:color="auto" w:fill="FFFFFF"/>
          <w:lang w:bidi="ar"/>
        </w:rPr>
        <w:t>促进特殊教育品质提升</w:t>
      </w:r>
      <w:bookmarkEnd w:id="131"/>
      <w:bookmarkEnd w:id="132"/>
      <w:bookmarkEnd w:id="133"/>
      <w:r>
        <w:rPr>
          <w:rFonts w:hint="eastAsia"/>
          <w:b/>
          <w:bCs/>
          <w:shd w:val="clear" w:color="auto" w:fill="FFFFFF"/>
          <w:lang w:bidi="ar"/>
        </w:rPr>
        <w:t>。</w:t>
      </w:r>
      <w:r>
        <w:rPr>
          <w:rFonts w:hint="eastAsia"/>
          <w:shd w:val="clear" w:color="auto" w:fill="FFFFFF"/>
          <w:lang w:bidi="ar"/>
        </w:rPr>
        <w:t>落实教育部《特殊教育学校建设标准》，至2025年，以持证残疾儿童少年各年段入学率不低于浙江省平均水平。其中视障、听障少年高中段入学率争取达到100%，智障少年高中段入学率争取达到90%。进一步提升特殊教育教师专业能力。区培智学校达到国家特殊教育学校建设及设备配置标准，基本实现特殊教育现代化。依托现有资源，在区培智学校举办高中段职业教育。推进普通学校特殊教育资源教室和无障碍建设，建立4个残疾人职业教育实训基地。推进特教与普教融合，残疾学生和普通学生成长的融合，突破传统课堂，探索推进卫星班、随班就读等多种融合教育模式。</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pStyle w:val="2"/>
              <w:ind w:firstLine="0" w:firstLineChars="0"/>
              <w:jc w:val="center"/>
              <w:rPr>
                <w:b/>
                <w:bCs/>
                <w:sz w:val="28"/>
                <w:szCs w:val="28"/>
                <w:shd w:val="clear" w:color="auto" w:fill="FFFFFF"/>
                <w:lang w:bidi="ar"/>
              </w:rPr>
            </w:pPr>
            <w:r>
              <w:rPr>
                <w:rFonts w:hint="eastAsia"/>
                <w:b/>
                <w:bCs/>
                <w:sz w:val="28"/>
                <w:szCs w:val="28"/>
                <w:shd w:val="clear" w:color="auto" w:fill="FFFFFF"/>
                <w:lang w:bidi="ar"/>
              </w:rPr>
              <w:t>专栏3 义务教育质量提升工程</w:t>
            </w:r>
          </w:p>
          <w:p>
            <w:pPr>
              <w:pStyle w:val="2"/>
              <w:ind w:firstLine="560"/>
              <w:rPr>
                <w:sz w:val="28"/>
                <w:szCs w:val="28"/>
                <w:shd w:val="clear" w:color="auto" w:fill="FFFFFF"/>
                <w:lang w:bidi="ar"/>
              </w:rPr>
            </w:pPr>
            <w:r>
              <w:rPr>
                <w:rFonts w:hint="eastAsia"/>
                <w:sz w:val="28"/>
                <w:szCs w:val="28"/>
                <w:shd w:val="clear" w:color="auto" w:fill="FFFFFF"/>
                <w:lang w:bidi="ar"/>
              </w:rPr>
              <w:t>实施《新一轮教育质量提升三年行动计划》，深化城乡义务教育共同体建设，开展义务教育阶段学校帮扶办学提升质量行动，区域内融合型、共建型模式的教共体比例不低于80%，实现全省乡村、镇区公办义务教育学校教共体全覆盖。</w:t>
            </w:r>
          </w:p>
          <w:p>
            <w:pPr>
              <w:pStyle w:val="2"/>
              <w:ind w:firstLine="0" w:firstLineChars="0"/>
              <w:jc w:val="center"/>
              <w:rPr>
                <w:b/>
                <w:bCs/>
                <w:sz w:val="28"/>
                <w:szCs w:val="28"/>
                <w:shd w:val="clear" w:color="auto" w:fill="FFFFFF"/>
                <w:lang w:bidi="ar"/>
              </w:rPr>
            </w:pPr>
            <w:r>
              <w:rPr>
                <w:rFonts w:hint="eastAsia"/>
                <w:b/>
                <w:bCs/>
                <w:sz w:val="28"/>
                <w:szCs w:val="28"/>
                <w:shd w:val="clear" w:color="auto" w:fill="FFFFFF"/>
                <w:lang w:bidi="ar"/>
              </w:rPr>
              <w:t>专栏4</w:t>
            </w:r>
            <w:r>
              <w:rPr>
                <w:b/>
                <w:bCs/>
                <w:sz w:val="28"/>
                <w:szCs w:val="28"/>
                <w:shd w:val="clear" w:color="auto" w:fill="FFFFFF"/>
                <w:lang w:bidi="ar"/>
              </w:rPr>
              <w:t xml:space="preserve"> </w:t>
            </w:r>
            <w:r>
              <w:rPr>
                <w:rFonts w:hint="eastAsia"/>
                <w:b/>
                <w:bCs/>
                <w:sz w:val="28"/>
                <w:szCs w:val="28"/>
                <w:shd w:val="clear" w:color="auto" w:fill="FFFFFF"/>
                <w:lang w:bidi="ar"/>
              </w:rPr>
              <w:t>普通高中特色发展工程</w:t>
            </w:r>
          </w:p>
          <w:p>
            <w:pPr>
              <w:pStyle w:val="2"/>
              <w:ind w:firstLine="560"/>
              <w:rPr>
                <w:sz w:val="28"/>
                <w:szCs w:val="28"/>
                <w:shd w:val="clear" w:color="auto" w:fill="FFFFFF"/>
                <w:lang w:bidi="ar"/>
              </w:rPr>
            </w:pPr>
            <w:r>
              <w:rPr>
                <w:rFonts w:hint="eastAsia"/>
                <w:sz w:val="28"/>
                <w:szCs w:val="28"/>
                <w:shd w:val="clear" w:color="auto" w:fill="FFFFFF"/>
                <w:lang w:bidi="ar"/>
              </w:rPr>
              <w:t>根据“学术型高中、科学高中、科技高中、人文高中、艺术高中、体育高中”等办学特色，推动5所普通高中由分层办学向分类办学转变。</w:t>
            </w:r>
          </w:p>
          <w:p>
            <w:pPr>
              <w:pStyle w:val="2"/>
              <w:ind w:firstLine="0" w:firstLineChars="0"/>
              <w:jc w:val="center"/>
              <w:rPr>
                <w:b/>
                <w:bCs/>
                <w:sz w:val="28"/>
                <w:szCs w:val="28"/>
                <w:shd w:val="clear" w:color="auto" w:fill="FFFFFF"/>
                <w:lang w:bidi="ar"/>
              </w:rPr>
            </w:pPr>
            <w:r>
              <w:rPr>
                <w:rFonts w:hint="eastAsia"/>
                <w:b/>
                <w:bCs/>
                <w:sz w:val="28"/>
                <w:szCs w:val="28"/>
                <w:shd w:val="clear" w:color="auto" w:fill="FFFFFF"/>
                <w:lang w:bidi="ar"/>
              </w:rPr>
              <w:t>专栏5</w:t>
            </w:r>
            <w:r>
              <w:rPr>
                <w:b/>
                <w:bCs/>
                <w:sz w:val="28"/>
                <w:szCs w:val="28"/>
                <w:shd w:val="clear" w:color="auto" w:fill="FFFFFF"/>
                <w:lang w:bidi="ar"/>
              </w:rPr>
              <w:t xml:space="preserve"> </w:t>
            </w:r>
            <w:r>
              <w:rPr>
                <w:rFonts w:hint="eastAsia"/>
                <w:b/>
                <w:bCs/>
                <w:sz w:val="28"/>
                <w:szCs w:val="28"/>
                <w:shd w:val="clear" w:color="auto" w:fill="FFFFFF"/>
                <w:lang w:bidi="ar"/>
              </w:rPr>
              <w:t>特殊教育学校加卫星班分布模式建设工程</w:t>
            </w:r>
          </w:p>
          <w:p>
            <w:pPr>
              <w:pStyle w:val="2"/>
              <w:ind w:firstLine="560"/>
              <w:rPr>
                <w:lang w:bidi="ar"/>
              </w:rPr>
            </w:pPr>
            <w:r>
              <w:rPr>
                <w:rFonts w:hint="eastAsia"/>
                <w:sz w:val="28"/>
                <w:szCs w:val="28"/>
              </w:rPr>
              <w:t>增强残疾学生适应社会的能力，</w:t>
            </w:r>
            <w:r>
              <w:rPr>
                <w:rFonts w:hint="eastAsia"/>
                <w:sz w:val="28"/>
                <w:szCs w:val="28"/>
                <w:shd w:val="clear" w:color="auto" w:fill="FFFFFF"/>
                <w:lang w:bidi="ar"/>
              </w:rPr>
              <w:t>基本实现特殊教育现代化，</w:t>
            </w:r>
            <w:r>
              <w:rPr>
                <w:rFonts w:hint="eastAsia"/>
                <w:sz w:val="28"/>
                <w:szCs w:val="28"/>
              </w:rPr>
              <w:t>按特殊教育学校加卫星班模式，</w:t>
            </w:r>
            <w:r>
              <w:rPr>
                <w:rFonts w:hint="eastAsia"/>
                <w:sz w:val="28"/>
                <w:szCs w:val="28"/>
                <w:shd w:val="clear" w:color="auto" w:fill="FFFFFF"/>
                <w:lang w:bidi="ar"/>
              </w:rPr>
              <w:t>推进普通学校特殊教育资源教室和无障碍建设，</w:t>
            </w:r>
            <w:r>
              <w:rPr>
                <w:rFonts w:hint="eastAsia"/>
                <w:sz w:val="28"/>
                <w:szCs w:val="28"/>
              </w:rPr>
              <w:t>实现融合发展。到2025年，建成1个学前融合教育示范点，建立12个省级示范性资源教室，2个以上卫星班。</w:t>
            </w:r>
          </w:p>
        </w:tc>
      </w:tr>
    </w:tbl>
    <w:p>
      <w:pPr>
        <w:pStyle w:val="4"/>
        <w:ind w:firstLine="640"/>
      </w:pPr>
      <w:bookmarkStart w:id="134" w:name="_Toc66825173"/>
      <w:bookmarkStart w:id="135" w:name="_Toc16318"/>
      <w:bookmarkStart w:id="136" w:name="_Toc82850588"/>
      <w:bookmarkStart w:id="137" w:name="_Toc1883"/>
      <w:r>
        <w:rPr>
          <w:rFonts w:hint="eastAsia"/>
        </w:rPr>
        <w:t>（三）</w:t>
      </w:r>
      <w:bookmarkEnd w:id="134"/>
      <w:r>
        <w:rPr>
          <w:rFonts w:hint="eastAsia"/>
        </w:rPr>
        <w:t>推进职业教育高水平融合</w:t>
      </w:r>
      <w:bookmarkEnd w:id="135"/>
      <w:bookmarkEnd w:id="136"/>
      <w:bookmarkEnd w:id="137"/>
    </w:p>
    <w:p>
      <w:r>
        <w:rPr>
          <w:rFonts w:hint="eastAsia"/>
        </w:rPr>
        <w:tab/>
      </w:r>
      <w:r>
        <w:rPr>
          <w:rFonts w:hint="eastAsia"/>
        </w:rPr>
        <w:t>坚持促进就业和适应产业发展需求的办学导向，着力增强职业教育适应性，全面加强职业院校基础能力和内涵建设，深化普职融通、产教融合、育训兼容。</w:t>
      </w:r>
    </w:p>
    <w:p>
      <w:pPr>
        <w:ind w:firstLine="643"/>
        <w:rPr>
          <w:shd w:val="clear" w:color="auto" w:fill="FFFFFF"/>
        </w:rPr>
      </w:pPr>
      <w:bookmarkStart w:id="138" w:name="_Hlk60824684"/>
      <w:r>
        <w:rPr>
          <w:rFonts w:hint="eastAsia"/>
          <w:b/>
          <w:bCs/>
        </w:rPr>
        <w:t>优化职业教育办学格局。</w:t>
      </w:r>
      <w:bookmarkEnd w:id="138"/>
      <w:r>
        <w:rPr>
          <w:rFonts w:hint="eastAsia"/>
        </w:rPr>
        <w:t>进一步完善职业学校的布局和发展走向。</w:t>
      </w:r>
      <w:r>
        <w:rPr>
          <w:rFonts w:hint="eastAsia"/>
          <w:shd w:val="clear" w:color="auto" w:fill="FFFFFF"/>
        </w:rPr>
        <w:t>扶持鼓励企业和社会力量参与举办职业教育。</w:t>
      </w:r>
      <w:r>
        <w:rPr>
          <w:rFonts w:hint="eastAsia"/>
        </w:rPr>
        <w:t>优化职教资源配置，统筹专业整合，做大做强主体专业（骨干专业），改造提升传统特色专业，有序开发新兴专业，加大对</w:t>
      </w:r>
      <w:r>
        <w:rPr>
          <w:rFonts w:hint="eastAsia"/>
          <w:shd w:val="clear" w:color="auto" w:fill="FFFFFF"/>
        </w:rPr>
        <w:t>当地急需领域的职业教育供给。</w:t>
      </w:r>
      <w:r>
        <w:rPr>
          <w:rFonts w:hint="eastAsia"/>
        </w:rPr>
        <w:t>加大普职融通力度</w:t>
      </w:r>
      <w:r>
        <w:rPr>
          <w:rFonts w:hint="eastAsia"/>
          <w:shd w:val="clear" w:color="auto" w:fill="FFFFFF"/>
        </w:rPr>
        <w:t>，推进职业教育高水平专业建设和“1+X”证书工作实施。</w:t>
      </w:r>
      <w:r>
        <w:rPr>
          <w:rFonts w:hint="eastAsia"/>
          <w:kern w:val="2"/>
        </w:rPr>
        <w:t>加快职业学校专业调整步伐，</w:t>
      </w:r>
      <w:r>
        <w:rPr>
          <w:rFonts w:hint="eastAsia"/>
        </w:rPr>
        <w:t>深化产教融合推进奉化职业教育高质量发展，同时为高一级职业院校输送一批合格的生源。</w:t>
      </w:r>
    </w:p>
    <w:p>
      <w:pPr>
        <w:ind w:firstLine="643"/>
      </w:pPr>
      <w:r>
        <w:rPr>
          <w:rFonts w:hint="eastAsia" w:cs="仿宋"/>
          <w:b/>
          <w:bCs/>
          <w:lang w:val="zh-CN"/>
        </w:rPr>
        <w:t>实施中职“提质赋能”计划。</w:t>
      </w:r>
      <w:r>
        <w:rPr>
          <w:rFonts w:hint="eastAsia" w:cs="仿宋"/>
          <w:lang w:val="zh-CN"/>
        </w:rPr>
        <w:t>以省级中职</w:t>
      </w:r>
      <w:r>
        <w:rPr>
          <w:rFonts w:cs="仿宋"/>
          <w:lang w:val="zh-CN"/>
        </w:rPr>
        <w:t>“</w:t>
      </w:r>
      <w:r>
        <w:rPr>
          <w:rFonts w:hint="eastAsia" w:cs="仿宋"/>
          <w:lang w:val="zh-CN"/>
        </w:rPr>
        <w:t>双高计划</w:t>
      </w:r>
      <w:r>
        <w:rPr>
          <w:rFonts w:cs="仿宋"/>
          <w:lang w:val="zh-CN"/>
        </w:rPr>
        <w:t>”</w:t>
      </w:r>
      <w:r>
        <w:rPr>
          <w:rFonts w:hint="eastAsia" w:cs="仿宋"/>
          <w:lang w:val="zh-CN"/>
        </w:rPr>
        <w:t>创建工作为抓手，加快推进中职学校内涵建设。</w:t>
      </w:r>
      <w:r>
        <w:rPr>
          <w:rFonts w:hint="eastAsia"/>
        </w:rPr>
        <w:t>全面落实国家和省专业教学标准，科学制订实施人才培养方案。</w:t>
      </w:r>
      <w:r>
        <w:rPr>
          <w:rFonts w:hint="eastAsia"/>
          <w:shd w:val="clear" w:color="auto" w:fill="FFFFFF"/>
        </w:rPr>
        <w:t>加强工匠精神培育，强化实践性教学，评选一批职业素养和工匠精神教育典型。</w:t>
      </w:r>
      <w:r>
        <w:rPr>
          <w:rFonts w:hint="eastAsia"/>
        </w:rPr>
        <w:t>积极</w:t>
      </w:r>
      <w:r>
        <w:rPr>
          <w:rFonts w:hint="eastAsia"/>
          <w:kern w:val="2"/>
        </w:rPr>
        <w:t>对接全区“十四五”产业发展需求，结合区域内“246”产业集群、“225”外贸双万亿七大重点领域、“3433”服务业倍增发展行动和“8100计划”。</w:t>
      </w:r>
      <w:r>
        <w:rPr>
          <w:rFonts w:hint="eastAsia" w:cs="仿宋"/>
          <w:lang w:val="zh-CN"/>
        </w:rPr>
        <w:t>加快构建职业教育教师培养体系</w:t>
      </w:r>
      <w:r>
        <w:rPr>
          <w:rFonts w:hint="eastAsia"/>
          <w:shd w:val="clear" w:color="auto" w:fill="FFFFFF"/>
        </w:rPr>
        <w:t>，</w:t>
      </w:r>
      <w:r>
        <w:rPr>
          <w:rFonts w:hint="eastAsia"/>
        </w:rPr>
        <w:t>加大名校长、名师、名教学团队的培养力度。到2</w:t>
      </w:r>
      <w:r>
        <w:t>025</w:t>
      </w:r>
      <w:r>
        <w:rPr>
          <w:rFonts w:hint="eastAsia"/>
        </w:rPr>
        <w:t>年，全区中职学生“面向人人”比赛合格率90%以上，全区中职学校师生比达到12:1。</w:t>
      </w:r>
    </w:p>
    <w:p>
      <w:pPr>
        <w:ind w:firstLine="643"/>
        <w:rPr>
          <w:b/>
          <w:bCs/>
        </w:rPr>
      </w:pPr>
      <w:bookmarkStart w:id="139" w:name="_Hlk60824676"/>
      <w:r>
        <w:rPr>
          <w:rFonts w:hint="eastAsia"/>
          <w:b/>
          <w:bCs/>
        </w:rPr>
        <w:t>促进职业教育产教融合。</w:t>
      </w:r>
      <w:bookmarkEnd w:id="139"/>
      <w:r>
        <w:rPr>
          <w:rFonts w:hint="eastAsia"/>
          <w:shd w:val="clear" w:color="auto" w:fill="FFFFFF"/>
        </w:rPr>
        <w:t>推进</w:t>
      </w:r>
      <w:r>
        <w:rPr>
          <w:rFonts w:hint="eastAsia"/>
        </w:rPr>
        <w:t>校企“双元”育人</w:t>
      </w:r>
      <w:r>
        <w:rPr>
          <w:rFonts w:hint="eastAsia"/>
          <w:shd w:val="clear" w:color="auto" w:fill="FFFFFF"/>
        </w:rPr>
        <w:t>，主动与具备条件的企业在人才培养培训、技术创新、就业创业、社会服务、文化传承等方面开展合作。</w:t>
      </w:r>
      <w:r>
        <w:rPr>
          <w:rFonts w:hint="eastAsia"/>
        </w:rPr>
        <w:t>推动高水平企业工程技术人员、资深经营管理骨干、社会能工巧匠到职业院校任教。</w:t>
      </w:r>
      <w:r>
        <w:rPr>
          <w:rFonts w:hint="eastAsia"/>
          <w:shd w:val="clear" w:color="auto" w:fill="FFFFFF"/>
        </w:rPr>
        <w:t>全面推行现代学徒制和企业新型学徒制，</w:t>
      </w:r>
      <w:r>
        <w:rPr>
          <w:rFonts w:hint="eastAsia"/>
        </w:rPr>
        <w:t>打造实践基地、企业真实生产、学生实训基地和社会培训中心。</w:t>
      </w:r>
      <w:r>
        <w:rPr>
          <w:rFonts w:hint="eastAsia"/>
          <w:shd w:val="clear" w:color="auto" w:fill="FFFFFF"/>
        </w:rPr>
        <w:t>培育产教融合型企业，建立覆盖主要专业领域的教师企业实践流动站。</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8733" w:type="dxa"/>
          </w:tcPr>
          <w:p>
            <w:pPr>
              <w:pStyle w:val="2"/>
              <w:ind w:firstLine="0" w:firstLineChars="0"/>
              <w:jc w:val="center"/>
              <w:rPr>
                <w:sz w:val="28"/>
                <w:szCs w:val="28"/>
                <w:shd w:val="clear" w:color="auto" w:fill="FFFFFF"/>
                <w:lang w:bidi="ar"/>
              </w:rPr>
            </w:pPr>
            <w:r>
              <w:rPr>
                <w:rFonts w:hint="eastAsia"/>
                <w:b/>
                <w:bCs/>
                <w:sz w:val="28"/>
                <w:szCs w:val="28"/>
                <w:shd w:val="clear" w:color="auto" w:fill="FFFFFF"/>
                <w:lang w:bidi="ar"/>
              </w:rPr>
              <w:t>专栏6</w:t>
            </w:r>
            <w:r>
              <w:rPr>
                <w:b/>
                <w:bCs/>
                <w:sz w:val="28"/>
                <w:szCs w:val="28"/>
                <w:shd w:val="clear" w:color="auto" w:fill="FFFFFF"/>
                <w:lang w:bidi="ar"/>
              </w:rPr>
              <w:t xml:space="preserve"> </w:t>
            </w:r>
            <w:r>
              <w:rPr>
                <w:rFonts w:hint="eastAsia"/>
                <w:b/>
                <w:bCs/>
                <w:sz w:val="28"/>
                <w:szCs w:val="28"/>
                <w:shd w:val="clear" w:color="auto" w:fill="FFFFFF"/>
                <w:lang w:bidi="ar"/>
              </w:rPr>
              <w:t>中职教育高水平专业建设工程</w:t>
            </w:r>
          </w:p>
          <w:p>
            <w:pPr>
              <w:ind w:firstLine="560"/>
              <w:rPr>
                <w:sz w:val="28"/>
                <w:szCs w:val="28"/>
              </w:rPr>
            </w:pPr>
            <w:r>
              <w:rPr>
                <w:rFonts w:hint="eastAsia"/>
                <w:sz w:val="28"/>
                <w:szCs w:val="28"/>
              </w:rPr>
              <w:t>大力开展机电技术应用、汽修、机械数控、旅游服务四大重点专业（群）建设，重点扶持城市轨道交通车辆电气维修与运行、护理、机器人技术等新开专业，至2025年，建成现代中等职业教育特色示范名校1所、中职优势专业品牌专业4个、生产性实习实训基地4个，开设中职一体化五年制专业1个，扩大中职毕业生升入高一级学校比例提升至60%；培育现代化学徒制学校2所、大师（名师）工作室4个；全区创建浙江省职业院校高水平专业2个。</w:t>
            </w:r>
          </w:p>
          <w:p>
            <w:pPr>
              <w:pStyle w:val="2"/>
              <w:ind w:firstLine="0" w:firstLineChars="0"/>
              <w:jc w:val="center"/>
              <w:rPr>
                <w:b/>
                <w:bCs/>
                <w:sz w:val="28"/>
                <w:szCs w:val="28"/>
                <w:shd w:val="clear" w:color="auto" w:fill="FFFFFF"/>
                <w:lang w:bidi="ar"/>
              </w:rPr>
            </w:pPr>
            <w:r>
              <w:rPr>
                <w:rFonts w:hint="eastAsia"/>
                <w:b/>
                <w:bCs/>
                <w:sz w:val="28"/>
                <w:szCs w:val="28"/>
                <w:shd w:val="clear" w:color="auto" w:fill="FFFFFF"/>
                <w:lang w:bidi="ar"/>
              </w:rPr>
              <w:t>专栏7</w:t>
            </w:r>
            <w:r>
              <w:rPr>
                <w:b/>
                <w:bCs/>
                <w:sz w:val="28"/>
                <w:szCs w:val="28"/>
                <w:shd w:val="clear" w:color="auto" w:fill="FFFFFF"/>
                <w:lang w:bidi="ar"/>
              </w:rPr>
              <w:t xml:space="preserve"> </w:t>
            </w:r>
            <w:r>
              <w:rPr>
                <w:rFonts w:hint="eastAsia"/>
                <w:b/>
                <w:bCs/>
                <w:sz w:val="28"/>
                <w:szCs w:val="28"/>
                <w:shd w:val="clear" w:color="auto" w:fill="FFFFFF"/>
                <w:lang w:bidi="ar"/>
              </w:rPr>
              <w:t>产教融合促进工程</w:t>
            </w:r>
          </w:p>
          <w:p>
            <w:pPr>
              <w:pStyle w:val="2"/>
              <w:ind w:firstLine="560"/>
              <w:rPr>
                <w:sz w:val="28"/>
                <w:szCs w:val="28"/>
              </w:rPr>
            </w:pPr>
            <w:r>
              <w:rPr>
                <w:rFonts w:hint="eastAsia"/>
                <w:sz w:val="28"/>
                <w:szCs w:val="28"/>
              </w:rPr>
              <w:t>示范性职业教育集团2家、示范性校企合作共同体2个。培育2个以上在全省具有广泛知名度和影响力的产教融合联盟，建成2个装备水平全省一流、产教深度融合的实验实习实训基地，培育3家以上产教融合型企业，实施5个以上产学合作协同育人项目。</w:t>
            </w:r>
          </w:p>
        </w:tc>
      </w:tr>
      <w:bookmarkEnd w:id="14"/>
      <w:bookmarkEnd w:id="130"/>
    </w:tbl>
    <w:p>
      <w:pPr>
        <w:pStyle w:val="4"/>
        <w:ind w:firstLine="640"/>
        <w:rPr>
          <w:shd w:val="clear" w:color="auto" w:fill="FFFFFF"/>
          <w:lang w:bidi="ar"/>
        </w:rPr>
      </w:pPr>
      <w:bookmarkStart w:id="140" w:name="_Toc19623"/>
      <w:bookmarkStart w:id="141" w:name="_Toc20541"/>
      <w:bookmarkStart w:id="142" w:name="_Toc66825174"/>
      <w:bookmarkStart w:id="143" w:name="_Toc82850589"/>
      <w:bookmarkStart w:id="144" w:name="_Toc8250"/>
      <w:bookmarkStart w:id="145" w:name="_Toc32761"/>
      <w:bookmarkStart w:id="146" w:name="_Toc21781"/>
      <w:bookmarkStart w:id="147" w:name="_Toc8315"/>
      <w:bookmarkStart w:id="148" w:name="_Toc9742"/>
      <w:r>
        <w:rPr>
          <w:rFonts w:hint="eastAsia"/>
          <w:shd w:val="clear" w:color="auto" w:fill="FFFFFF"/>
          <w:lang w:bidi="ar"/>
        </w:rPr>
        <w:t>（四）</w:t>
      </w:r>
      <w:bookmarkEnd w:id="140"/>
      <w:bookmarkEnd w:id="141"/>
      <w:bookmarkEnd w:id="142"/>
      <w:r>
        <w:rPr>
          <w:rFonts w:hint="eastAsia"/>
          <w:shd w:val="clear" w:color="auto" w:fill="FFFFFF"/>
          <w:lang w:bidi="ar"/>
        </w:rPr>
        <w:t>推动终身教育工作迈上新台阶</w:t>
      </w:r>
      <w:bookmarkEnd w:id="143"/>
    </w:p>
    <w:p>
      <w:r>
        <w:rPr>
          <w:rFonts w:hint="eastAsia"/>
          <w:shd w:val="clear" w:color="auto" w:fill="FFFFFF"/>
          <w:lang w:bidi="ar"/>
        </w:rPr>
        <w:t>打响“学在奉化”品牌，加快建设学习型社会，推动社区教育发展水平。加快现代化特色示范成校建设，</w:t>
      </w:r>
      <w:r>
        <w:rPr>
          <w:rFonts w:hint="eastAsia"/>
        </w:rPr>
        <w:t>，推进高水平学习型城市建设，推进终身教育高质量发展。</w:t>
      </w:r>
    </w:p>
    <w:p>
      <w:pPr>
        <w:ind w:firstLine="643"/>
      </w:pPr>
      <w:r>
        <w:rPr>
          <w:rFonts w:hint="eastAsia"/>
          <w:b/>
        </w:rPr>
        <w:t>完善终身教育服务和保障体系。</w:t>
      </w:r>
      <w:r>
        <w:rPr>
          <w:rFonts w:hint="eastAsia"/>
          <w:shd w:val="clear" w:color="auto" w:fill="FFFFFF"/>
          <w:lang w:bidi="ar"/>
        </w:rPr>
        <w:t>成立区终身教育指导中心，组建终身教育资源共享开放联盟，建设市民终身学习体验基地，完善“奉化终身学习平台”，重视终身教育体系中的课程改革与优化，探索增设统一战线相关学科。</w:t>
      </w:r>
      <w:r>
        <w:rPr>
          <w:rFonts w:hint="eastAsia"/>
          <w:bCs/>
        </w:rPr>
        <w:t>建立健全个人学习账号，完善学分银行和学习成果认定制度，搭建人才成长“立交桥”。</w:t>
      </w:r>
      <w:r>
        <w:rPr>
          <w:rFonts w:hint="eastAsia"/>
        </w:rPr>
        <w:t>推进市民终身学习积分体系建设，实现不同类型教育成果的相互认证和转换，激发市民参与终身学习的积极性。</w:t>
      </w:r>
    </w:p>
    <w:p>
      <w:pPr>
        <w:ind w:firstLine="643"/>
      </w:pPr>
      <w:r>
        <w:rPr>
          <w:rFonts w:hint="eastAsia"/>
          <w:b/>
          <w:bCs/>
        </w:rPr>
        <w:t>提升终身教育数字化服务能力。</w:t>
      </w:r>
      <w:r>
        <w:rPr>
          <w:rFonts w:hint="eastAsia"/>
        </w:rPr>
        <w:t>实施社区教育智慧建设工程，以市民数字化学习平台为基础，建设“未来社区”教育应用场景，打造全纳、开放、共享的社区教育公共服务平台。利用大数据、云计算、人工智能等信息技术，实现社区教育场地、师资、课程等资源的科学配置与精准服务。</w:t>
      </w:r>
    </w:p>
    <w:p>
      <w:pPr>
        <w:ind w:firstLine="643"/>
      </w:pPr>
      <w:r>
        <w:rPr>
          <w:rFonts w:hint="eastAsia"/>
          <w:b/>
          <w:bCs/>
        </w:rPr>
        <w:t>稳步推进社区教育和老年教育。</w:t>
      </w:r>
      <w:r>
        <w:rPr>
          <w:rFonts w:hint="eastAsia"/>
        </w:rPr>
        <w:t>加强社区教育师资队伍建设，全面提升社区教育师资管理水平和业务素质，开展学习类文化志愿者服务队伍，培育一批学习教育品牌。</w:t>
      </w:r>
      <w:bookmarkStart w:id="149" w:name="_Hlk57321360"/>
      <w:r>
        <w:rPr>
          <w:rFonts w:hint="eastAsia"/>
          <w:shd w:val="clear" w:color="auto" w:fill="FFFFFF"/>
          <w:lang w:bidi="ar"/>
        </w:rPr>
        <w:t>调动老年办学积极性，实现老年教育机构全覆盖，</w:t>
      </w:r>
      <w:r>
        <w:rPr>
          <w:rFonts w:hint="eastAsia"/>
        </w:rPr>
        <w:t>建立一批示范性乡镇老年人学习场所</w:t>
      </w:r>
      <w:r>
        <w:rPr>
          <w:rFonts w:hint="eastAsia"/>
          <w:shd w:val="clear" w:color="auto" w:fill="FFFFFF"/>
          <w:lang w:bidi="ar"/>
        </w:rPr>
        <w:t>。</w:t>
      </w:r>
      <w:r>
        <w:rPr>
          <w:rFonts w:hint="eastAsia"/>
        </w:rPr>
        <w:t>深化老年教育发展内涵，</w:t>
      </w:r>
      <w:bookmarkEnd w:id="149"/>
      <w:r>
        <w:rPr>
          <w:rFonts w:hint="eastAsia"/>
          <w:shd w:val="clear" w:color="auto" w:fill="FFFFFF"/>
          <w:lang w:bidi="ar"/>
        </w:rPr>
        <w:t>鼓励各级各类老年教育机构参与老年教育课程建设。</w:t>
      </w:r>
      <w:r>
        <w:rPr>
          <w:rFonts w:hint="eastAsia"/>
        </w:rPr>
        <w:t>提高老年教育的参与率和满意度，将老年教育纳入工作绩效考核。提升数字化服务能力，组建区社区学院为核心的终身教育发展指导中心，建立健全社区教育、老年教育服务保障体系。创新成教服务乡村振兴战略“智助”模式，助力新时代美丽乡村建设。</w:t>
      </w:r>
    </w:p>
    <w:p>
      <w:pPr>
        <w:ind w:firstLine="643"/>
      </w:pPr>
      <w:r>
        <w:rPr>
          <w:rFonts w:hint="eastAsia"/>
          <w:b/>
          <w:bCs/>
          <w:lang w:bidi="ar"/>
        </w:rPr>
        <w:t>规范发展成人高等继续教育。</w:t>
      </w:r>
      <w:r>
        <w:rPr>
          <w:rFonts w:hint="eastAsia"/>
          <w:shd w:val="clear" w:color="auto" w:fill="FFFFFF"/>
          <w:lang w:bidi="ar"/>
        </w:rPr>
        <w:t>推进成人教育服务乡村振兴战略。</w:t>
      </w:r>
      <w:r>
        <w:rPr>
          <w:rFonts w:hint="eastAsia"/>
          <w:lang w:bidi="ar"/>
        </w:rPr>
        <w:t>完善高等学历继续教育的招生计划管理制度。</w:t>
      </w:r>
      <w:r>
        <w:rPr>
          <w:rFonts w:hint="eastAsia"/>
          <w:bCs/>
        </w:rPr>
        <w:t>落实浙江省成人继续教育人均经费，列入区级财政预算。</w:t>
      </w:r>
      <w:r>
        <w:rPr>
          <w:rFonts w:hint="eastAsia"/>
          <w:lang w:bidi="ar"/>
        </w:rPr>
        <w:t>优化对成人学历继续教育校外办学点的准入、过程管理。</w:t>
      </w:r>
      <w:r>
        <w:rPr>
          <w:rFonts w:hint="eastAsia"/>
        </w:rPr>
        <w:t>积极引进各类高等教育办学机构、</w:t>
      </w:r>
      <w:r>
        <w:rPr>
          <w:rFonts w:hint="eastAsia"/>
          <w:lang w:bidi="ar"/>
        </w:rPr>
        <w:t>省内外知名民办教育集团及其他社会资本来我区办学。</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5" w:hRule="atLeast"/>
          <w:jc w:val="center"/>
        </w:trPr>
        <w:tc>
          <w:tcPr>
            <w:tcW w:w="8712" w:type="dxa"/>
          </w:tcPr>
          <w:p>
            <w:pPr>
              <w:ind w:firstLine="562"/>
              <w:jc w:val="center"/>
              <w:rPr>
                <w:b/>
                <w:bCs/>
                <w:sz w:val="28"/>
                <w:szCs w:val="28"/>
                <w:shd w:val="clear" w:color="auto" w:fill="FFFFFF"/>
                <w:lang w:bidi="ar"/>
              </w:rPr>
            </w:pPr>
            <w:r>
              <w:rPr>
                <w:rFonts w:hint="eastAsia"/>
                <w:b/>
                <w:bCs/>
                <w:sz w:val="28"/>
                <w:szCs w:val="28"/>
                <w:shd w:val="clear" w:color="auto" w:fill="FFFFFF"/>
                <w:lang w:bidi="ar"/>
              </w:rPr>
              <w:t>专栏8</w:t>
            </w:r>
            <w:r>
              <w:rPr>
                <w:b/>
                <w:bCs/>
                <w:sz w:val="28"/>
                <w:szCs w:val="28"/>
                <w:shd w:val="clear" w:color="auto" w:fill="FFFFFF"/>
                <w:lang w:bidi="ar"/>
              </w:rPr>
              <w:t xml:space="preserve"> </w:t>
            </w:r>
            <w:r>
              <w:rPr>
                <w:rFonts w:hint="eastAsia"/>
                <w:b/>
                <w:bCs/>
                <w:sz w:val="28"/>
                <w:szCs w:val="28"/>
                <w:shd w:val="clear" w:color="auto" w:fill="FFFFFF"/>
                <w:lang w:bidi="ar"/>
              </w:rPr>
              <w:t>社区学校及教育体验基地建设项目</w:t>
            </w:r>
          </w:p>
          <w:p>
            <w:pPr>
              <w:ind w:firstLine="560"/>
              <w:rPr>
                <w:rFonts w:cs="仿宋"/>
                <w:sz w:val="28"/>
                <w:szCs w:val="28"/>
                <w:shd w:val="clear" w:color="auto" w:fill="FFFFFF"/>
                <w:lang w:bidi="ar"/>
              </w:rPr>
            </w:pPr>
            <w:r>
              <w:rPr>
                <w:rFonts w:hint="eastAsia" w:cs="仿宋"/>
                <w:sz w:val="28"/>
                <w:szCs w:val="28"/>
                <w:shd w:val="clear" w:color="auto" w:fill="FFFFFF"/>
                <w:lang w:bidi="ar"/>
              </w:rPr>
              <w:t>加快现代化特色示范成校建设，创建省级现代化学校（社区学校）</w:t>
            </w:r>
            <w:r>
              <w:rPr>
                <w:rFonts w:hint="eastAsia"/>
                <w:sz w:val="28"/>
                <w:szCs w:val="28"/>
                <w:shd w:val="clear" w:color="auto" w:fill="FFFFFF"/>
                <w:lang w:bidi="ar"/>
              </w:rPr>
              <w:t>2</w:t>
            </w:r>
            <w:r>
              <w:rPr>
                <w:rFonts w:hint="eastAsia" w:cs="仿宋"/>
                <w:sz w:val="28"/>
                <w:szCs w:val="28"/>
                <w:shd w:val="clear" w:color="auto" w:fill="FFFFFF"/>
                <w:lang w:bidi="ar"/>
              </w:rPr>
              <w:t>所，建成市级新兴成校</w:t>
            </w:r>
            <w:r>
              <w:rPr>
                <w:rFonts w:hint="eastAsia"/>
                <w:sz w:val="28"/>
                <w:szCs w:val="28"/>
                <w:shd w:val="clear" w:color="auto" w:fill="FFFFFF"/>
                <w:lang w:bidi="ar"/>
              </w:rPr>
              <w:t>3</w:t>
            </w:r>
            <w:r>
              <w:rPr>
                <w:rFonts w:hint="eastAsia" w:cs="仿宋"/>
                <w:sz w:val="28"/>
                <w:szCs w:val="28"/>
                <w:shd w:val="clear" w:color="auto" w:fill="FFFFFF"/>
                <w:lang w:bidi="ar"/>
              </w:rPr>
              <w:t>所。</w:t>
            </w:r>
            <w:r>
              <w:rPr>
                <w:rFonts w:hint="eastAsia" w:eastAsia="仿宋_GB2312"/>
                <w:color w:val="000000" w:themeColor="text1"/>
                <w:sz w:val="28"/>
                <w:szCs w:val="28"/>
                <w14:textFill>
                  <w14:solidFill>
                    <w14:schemeClr w14:val="tx1"/>
                  </w14:solidFill>
                </w14:textFill>
              </w:rPr>
              <w:t>在区内扶植、建设区、镇街、村社区三级社区教育体验基地。</w:t>
            </w:r>
          </w:p>
          <w:p>
            <w:pPr>
              <w:ind w:firstLine="562"/>
              <w:jc w:val="center"/>
              <w:rPr>
                <w:b/>
                <w:bCs/>
                <w:sz w:val="28"/>
                <w:szCs w:val="28"/>
                <w:shd w:val="clear" w:color="auto" w:fill="FFFFFF"/>
                <w:lang w:bidi="ar"/>
              </w:rPr>
            </w:pPr>
            <w:r>
              <w:rPr>
                <w:rFonts w:hint="eastAsia"/>
                <w:b/>
                <w:bCs/>
                <w:sz w:val="28"/>
                <w:szCs w:val="28"/>
                <w:shd w:val="clear" w:color="auto" w:fill="FFFFFF"/>
                <w:lang w:bidi="ar"/>
              </w:rPr>
              <w:t xml:space="preserve">专栏9 </w:t>
            </w:r>
            <w:r>
              <w:rPr>
                <w:b/>
                <w:bCs/>
                <w:sz w:val="28"/>
                <w:szCs w:val="28"/>
              </w:rPr>
              <w:t>终身教育服务体系建设</w:t>
            </w:r>
            <w:r>
              <w:rPr>
                <w:rFonts w:hint="eastAsia"/>
                <w:b/>
                <w:bCs/>
                <w:sz w:val="28"/>
                <w:szCs w:val="28"/>
              </w:rPr>
              <w:t>工程</w:t>
            </w:r>
          </w:p>
          <w:p>
            <w:pPr>
              <w:ind w:firstLine="560"/>
              <w:rPr>
                <w:sz w:val="28"/>
                <w:szCs w:val="28"/>
                <w:shd w:val="clear" w:color="auto" w:fill="FFFFFF"/>
                <w:lang w:bidi="ar"/>
              </w:rPr>
            </w:pPr>
            <w:r>
              <w:rPr>
                <w:rFonts w:hint="eastAsia" w:cs="仿宋"/>
                <w:sz w:val="28"/>
                <w:szCs w:val="28"/>
                <w:shd w:val="clear" w:color="auto" w:fill="FFFFFF"/>
                <w:lang w:bidi="ar"/>
              </w:rPr>
              <w:t>推进成人教育服务乡村振兴战略，成立区终身教育指导中心，组建终身教育资源共享开放联盟，建设市民终身学习体验基地，完善“奉化终身学习平台”。</w:t>
            </w:r>
            <w:r>
              <w:rPr>
                <w:rFonts w:hint="eastAsia"/>
                <w:sz w:val="28"/>
                <w:szCs w:val="28"/>
                <w:shd w:val="clear" w:color="auto" w:fill="FFFFFF"/>
                <w:lang w:bidi="ar"/>
              </w:rPr>
              <w:t>到2</w:t>
            </w:r>
            <w:r>
              <w:rPr>
                <w:sz w:val="28"/>
                <w:szCs w:val="28"/>
                <w:shd w:val="clear" w:color="auto" w:fill="FFFFFF"/>
                <w:lang w:bidi="ar"/>
              </w:rPr>
              <w:t>025</w:t>
            </w:r>
            <w:r>
              <w:rPr>
                <w:rFonts w:hint="eastAsia"/>
                <w:sz w:val="28"/>
                <w:szCs w:val="28"/>
                <w:shd w:val="clear" w:color="auto" w:fill="FFFFFF"/>
                <w:lang w:bidi="ar"/>
              </w:rPr>
              <w:t>年，打造各级终身教育品牌项目5个、教育服务乡村振兴创新项目5个、优质农科经教基地10个，积极创建省级示范性老年大学（学堂），省级城乡居民终身学习体验基地。</w:t>
            </w:r>
          </w:p>
        </w:tc>
      </w:tr>
      <w:bookmarkEnd w:id="144"/>
      <w:bookmarkEnd w:id="145"/>
      <w:bookmarkEnd w:id="146"/>
      <w:bookmarkEnd w:id="147"/>
      <w:bookmarkEnd w:id="148"/>
    </w:tbl>
    <w:p>
      <w:pPr>
        <w:pStyle w:val="4"/>
        <w:ind w:firstLine="640"/>
        <w:rPr>
          <w:shd w:val="clear" w:color="auto" w:fill="FFFFFF"/>
          <w:lang w:bidi="ar"/>
        </w:rPr>
      </w:pPr>
      <w:bookmarkStart w:id="150" w:name="_Toc66825176"/>
      <w:bookmarkStart w:id="151" w:name="_Toc29836"/>
      <w:bookmarkStart w:id="152" w:name="_Toc21896"/>
      <w:bookmarkStart w:id="153" w:name="_Toc82850590"/>
      <w:bookmarkStart w:id="154" w:name="_Toc25678"/>
      <w:bookmarkStart w:id="155" w:name="_Toc8554"/>
      <w:bookmarkStart w:id="156" w:name="_Toc14480"/>
      <w:bookmarkStart w:id="157" w:name="_Toc14245"/>
      <w:r>
        <w:rPr>
          <w:rFonts w:hint="eastAsia"/>
          <w:shd w:val="clear" w:color="auto" w:fill="FFFFFF"/>
          <w:lang w:bidi="ar"/>
        </w:rPr>
        <w:t>（五）打造高素质教师队伍</w:t>
      </w:r>
      <w:bookmarkEnd w:id="150"/>
      <w:bookmarkEnd w:id="151"/>
      <w:bookmarkEnd w:id="152"/>
      <w:bookmarkEnd w:id="153"/>
    </w:p>
    <w:p>
      <w:pPr>
        <w:rPr>
          <w:shd w:val="clear" w:color="auto" w:fill="FFFFFF"/>
          <w:lang w:bidi="ar"/>
        </w:rPr>
      </w:pPr>
      <w:r>
        <w:rPr>
          <w:rFonts w:hint="eastAsia"/>
          <w:shd w:val="clear" w:color="auto" w:fill="FFFFFF"/>
          <w:lang w:bidi="ar"/>
        </w:rPr>
        <w:t>把教师队伍建设作为教育最重要基础工作，加强师德师风建设，提升教师专业素质能力，提高教师地位和待遇。深入实施教育高端人才培养计划，落实高层次教育人才待遇，加强名优骨干教师队伍考核。适当提高中高级岗位设置比例，畅通职称晋升渠道。</w:t>
      </w:r>
    </w:p>
    <w:p>
      <w:pPr>
        <w:ind w:firstLine="643"/>
        <w:rPr>
          <w:shd w:val="clear" w:color="auto" w:fill="FFFFFF"/>
          <w:lang w:bidi="ar"/>
        </w:rPr>
      </w:pPr>
      <w:r>
        <w:rPr>
          <w:rFonts w:hint="eastAsia"/>
          <w:b/>
        </w:rPr>
        <w:t>全面加强师德师风建设。</w:t>
      </w:r>
      <w:r>
        <w:rPr>
          <w:rFonts w:hint="eastAsia"/>
          <w:shd w:val="clear" w:color="auto" w:fill="FFFFFF"/>
          <w:lang w:bidi="ar"/>
        </w:rPr>
        <w:t>用习近平新时代中国特色社会主义思想武装头脑，落实全面从严治党，提升教师思想政治素质。健全师德建设长效机制，</w:t>
      </w:r>
      <w:r>
        <w:rPr>
          <w:rFonts w:hint="eastAsia"/>
        </w:rPr>
        <w:t>把师德师风作为评价教师素质的第一标准，</w:t>
      </w:r>
      <w:r>
        <w:t>建立健全师德师风年度评议制度</w:t>
      </w:r>
      <w:r>
        <w:rPr>
          <w:rFonts w:hint="eastAsia"/>
        </w:rPr>
        <w:t>、</w:t>
      </w:r>
      <w:r>
        <w:t>师德师风问题报告制度</w:t>
      </w:r>
      <w:r>
        <w:rPr>
          <w:rFonts w:hint="eastAsia"/>
        </w:rPr>
        <w:t>。</w:t>
      </w:r>
      <w:r>
        <w:t>创新师德教育的培训体系，实施每年有重点、有主题的专题师德培训。</w:t>
      </w:r>
      <w:r>
        <w:rPr>
          <w:rFonts w:hint="eastAsia"/>
        </w:rPr>
        <w:t>依法依规妥善处理涉及学校和教师的矛盾纠纷，切实维护教师合法权益。</w:t>
      </w:r>
    </w:p>
    <w:p>
      <w:pPr>
        <w:ind w:firstLine="643"/>
        <w:rPr>
          <w:shd w:val="clear" w:color="auto" w:fill="FFFFFF"/>
          <w:lang w:bidi="ar"/>
        </w:rPr>
      </w:pPr>
      <w:bookmarkStart w:id="158" w:name="_Hlk60910014"/>
      <w:r>
        <w:rPr>
          <w:rFonts w:hint="eastAsia"/>
          <w:b/>
        </w:rPr>
        <w:t>构建教师培养研训体系</w:t>
      </w:r>
      <w:bookmarkEnd w:id="158"/>
      <w:r>
        <w:rPr>
          <w:rFonts w:hint="eastAsia"/>
          <w:b/>
        </w:rPr>
        <w:t>。</w:t>
      </w:r>
      <w:r>
        <w:rPr>
          <w:rFonts w:hint="eastAsia"/>
        </w:rPr>
        <w:t>完善相关学段紧缺学科定向培养教师制度，</w:t>
      </w:r>
      <w:r>
        <w:rPr>
          <w:rFonts w:hint="eastAsia"/>
          <w:shd w:val="clear" w:color="auto" w:fill="FFFFFF"/>
          <w:lang w:bidi="ar"/>
        </w:rPr>
        <w:t>开展“一专多能”小学全科教师、“双学科”复合型高中教师培养模式改革，加大五年制专科及本科层次幼儿园教师招聘数量，加大职业学校“双师型”教师培养力度，建设高素质复合型的特殊教育教师队伍。探索实施“互联网+教师”模式，深入实施“银龄讲学”计划，打造高素质农村教师队伍。持续加大引进培养名优教师的力度，不断完善名优教师管理和考核办法，继续实施名优教师专项津补贴制度，吸引优秀人才长期从教、终身从教。</w:t>
      </w:r>
    </w:p>
    <w:p>
      <w:pPr>
        <w:ind w:firstLine="643"/>
        <w:rPr>
          <w:color w:val="FF0000"/>
        </w:rPr>
      </w:pPr>
      <w:r>
        <w:rPr>
          <w:rFonts w:hint="eastAsia"/>
          <w:b/>
          <w:bCs/>
        </w:rPr>
        <w:t>推进教师管理综合改革。</w:t>
      </w:r>
      <w:r>
        <w:rPr>
          <w:rFonts w:hint="eastAsia"/>
          <w:shd w:val="clear" w:color="auto" w:fill="FFFFFF"/>
          <w:lang w:bidi="ar"/>
        </w:rPr>
        <w:t>加强教师编制统筹管理，深化“区管校聘”制度改</w:t>
      </w:r>
      <w:r>
        <w:rPr>
          <w:rFonts w:hint="eastAsia"/>
          <w:color w:val="000000" w:themeColor="text1"/>
          <w:shd w:val="clear" w:color="auto" w:fill="FFFFFF"/>
          <w:lang w:bidi="ar"/>
          <w14:textFill>
            <w14:solidFill>
              <w14:schemeClr w14:val="tx1"/>
            </w14:solidFill>
          </w14:textFill>
        </w:rPr>
        <w:t>革，</w:t>
      </w:r>
      <w:r>
        <w:rPr>
          <w:rFonts w:hint="eastAsia"/>
          <w:color w:val="000000" w:themeColor="text1"/>
          <w14:textFill>
            <w14:solidFill>
              <w14:schemeClr w14:val="tx1"/>
            </w14:solidFill>
          </w14:textFill>
        </w:rPr>
        <w:t>探索实施公办与民办学校之间教师合理、有序流动机制。</w:t>
      </w:r>
      <w:r>
        <w:rPr>
          <w:rFonts w:hint="eastAsia"/>
          <w:shd w:val="clear" w:color="auto" w:fill="FFFFFF"/>
          <w:lang w:bidi="ar"/>
        </w:rPr>
        <w:t>完善教师准入和招聘制度，吸引高学历高素质毕业生加入教师队伍</w:t>
      </w:r>
      <w:r>
        <w:rPr>
          <w:rFonts w:hint="eastAsia"/>
        </w:rPr>
        <w:t>。优化教育结构、学科专业结构，加强高质量师资队伍建设，重点实现中职学校、特殊教育学校、小学、初中、普通高中学校的生师比分别达到12.5:1、3:1、19:1、13.5:1和12:1，学前教育班师比1:2目标值。拥有全职外籍教师的学校比例达到10%以上。加强乡村教师队伍建设，加大对乡村教师职称评审、岗位晋升、评先评优等政策倾斜力度，持续开展城镇与乡村教师双向交流、定期轮岗。</w:t>
      </w:r>
    </w:p>
    <w:p>
      <w:pPr>
        <w:ind w:firstLine="643"/>
      </w:pPr>
      <w:r>
        <w:rPr>
          <w:rFonts w:hint="eastAsia"/>
          <w:b/>
        </w:rPr>
        <w:t>实施职业幸福感提升工程。</w:t>
      </w:r>
      <w:r>
        <w:rPr>
          <w:rFonts w:hint="eastAsia"/>
          <w:shd w:val="clear" w:color="auto" w:fill="FFFFFF"/>
          <w:lang w:bidi="ar"/>
        </w:rPr>
        <w:t>完善教师待遇保障机制，实施中小学教师工资与当地公务员工资长效联动机制。</w:t>
      </w:r>
      <w:r>
        <w:rPr>
          <w:rFonts w:hint="eastAsia"/>
        </w:rPr>
        <w:t>建立科学的教师评价体系，切实减轻教师非教学负担，进一步营造教育教学良好环境。</w:t>
      </w:r>
      <w:r>
        <w:rPr>
          <w:rFonts w:hint="eastAsia"/>
          <w:shd w:val="clear" w:color="auto" w:fill="FFFFFF"/>
          <w:lang w:bidi="ar"/>
        </w:rPr>
        <w:t>实施民办学校教师人事代理制度，建立完善的教师荣誉体系，提升教师社会地位。</w:t>
      </w:r>
      <w:r>
        <w:rPr>
          <w:rFonts w:hint="eastAsia"/>
        </w:rPr>
        <w:t>民办幼儿园教师人均年收入不低于上一年度奉化全社会单位在岗职工年平均工资一项。定期开展奉化教育贡献奖、最美教师等评比活动，提高教师幸福感与满意度。</w:t>
      </w:r>
    </w:p>
    <w:p>
      <w:pPr>
        <w:pStyle w:val="2"/>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4" w:type="dxa"/>
          </w:tcPr>
          <w:p>
            <w:pPr>
              <w:pStyle w:val="2"/>
              <w:ind w:firstLine="0" w:firstLineChars="0"/>
              <w:jc w:val="center"/>
              <w:rPr>
                <w:b/>
                <w:bCs/>
                <w:sz w:val="28"/>
                <w:szCs w:val="28"/>
                <w:shd w:val="clear" w:color="auto" w:fill="FFFFFF"/>
                <w:lang w:bidi="ar"/>
              </w:rPr>
            </w:pPr>
            <w:r>
              <w:rPr>
                <w:rFonts w:hint="eastAsia"/>
                <w:b/>
                <w:bCs/>
                <w:sz w:val="28"/>
                <w:szCs w:val="28"/>
                <w:shd w:val="clear" w:color="auto" w:fill="FFFFFF"/>
                <w:lang w:bidi="ar"/>
              </w:rPr>
              <w:t>专栏1</w:t>
            </w:r>
            <w:r>
              <w:rPr>
                <w:b/>
                <w:bCs/>
                <w:sz w:val="28"/>
                <w:szCs w:val="28"/>
                <w:shd w:val="clear" w:color="auto" w:fill="FFFFFF"/>
                <w:lang w:bidi="ar"/>
              </w:rPr>
              <w:t xml:space="preserve">0 </w:t>
            </w:r>
            <w:r>
              <w:rPr>
                <w:rFonts w:hint="eastAsia"/>
                <w:b/>
                <w:bCs/>
                <w:sz w:val="28"/>
                <w:szCs w:val="28"/>
                <w:shd w:val="clear" w:color="auto" w:fill="FFFFFF"/>
                <w:lang w:bidi="ar"/>
              </w:rPr>
              <w:t>高水平专业教师队伍建设工程</w:t>
            </w:r>
          </w:p>
          <w:p>
            <w:pPr>
              <w:ind w:firstLine="560"/>
              <w:rPr>
                <w:sz w:val="28"/>
                <w:szCs w:val="28"/>
              </w:rPr>
            </w:pPr>
            <w:r>
              <w:rPr>
                <w:rFonts w:hint="eastAsia"/>
                <w:sz w:val="28"/>
                <w:szCs w:val="28"/>
              </w:rPr>
              <w:t>完善师德师风建设长效机制，深入实施中小学教师专业发展培训制度，全面落实5年一个周期360学分的全员培训目标，持续深化“一二三奠基行动”，促进青年教师成长和学科团队建设。</w:t>
            </w:r>
          </w:p>
          <w:p>
            <w:pPr>
              <w:pStyle w:val="2"/>
              <w:ind w:firstLine="0" w:firstLineChars="0"/>
              <w:jc w:val="center"/>
              <w:rPr>
                <w:b/>
                <w:bCs/>
                <w:sz w:val="28"/>
                <w:szCs w:val="28"/>
                <w:shd w:val="clear" w:color="auto" w:fill="FFFFFF"/>
                <w:lang w:bidi="ar"/>
              </w:rPr>
            </w:pPr>
            <w:r>
              <w:rPr>
                <w:rFonts w:hint="eastAsia"/>
                <w:b/>
                <w:bCs/>
                <w:sz w:val="28"/>
                <w:szCs w:val="28"/>
                <w:shd w:val="clear" w:color="auto" w:fill="FFFFFF"/>
                <w:lang w:bidi="ar"/>
              </w:rPr>
              <w:t>专栏1</w:t>
            </w:r>
            <w:r>
              <w:rPr>
                <w:b/>
                <w:bCs/>
                <w:sz w:val="28"/>
                <w:szCs w:val="28"/>
                <w:shd w:val="clear" w:color="auto" w:fill="FFFFFF"/>
                <w:lang w:bidi="ar"/>
              </w:rPr>
              <w:t xml:space="preserve">1 </w:t>
            </w:r>
            <w:r>
              <w:rPr>
                <w:rFonts w:hint="eastAsia"/>
                <w:b/>
                <w:bCs/>
                <w:sz w:val="28"/>
                <w:szCs w:val="28"/>
                <w:shd w:val="clear" w:color="auto" w:fill="FFFFFF"/>
                <w:lang w:bidi="ar"/>
              </w:rPr>
              <w:t>“名师名校长”培育工程</w:t>
            </w:r>
          </w:p>
          <w:p>
            <w:pPr>
              <w:pStyle w:val="22"/>
              <w:ind w:firstLine="560" w:firstLineChars="200"/>
              <w:rPr>
                <w:color w:val="000000" w:themeColor="text1"/>
                <w:sz w:val="28"/>
                <w:szCs w:val="28"/>
                <w14:textFill>
                  <w14:solidFill>
                    <w14:schemeClr w14:val="tx1"/>
                  </w14:solidFill>
                </w14:textFill>
              </w:rPr>
            </w:pPr>
            <w:r>
              <w:rPr>
                <w:rFonts w:hint="eastAsia"/>
                <w:sz w:val="28"/>
                <w:szCs w:val="28"/>
              </w:rPr>
              <w:t>选拔100名中青年教师、30名中青年校长进行为期三年的培养、5名特级教师后备人选，造就一支师德高尚、理念先进、业务精湛的名师名校长队伍。到2025年，新评区级及以上名优骨干教师150人以上。</w:t>
            </w:r>
          </w:p>
        </w:tc>
      </w:tr>
    </w:tbl>
    <w:p>
      <w:pPr>
        <w:pStyle w:val="4"/>
        <w:ind w:firstLine="640"/>
      </w:pPr>
      <w:bookmarkStart w:id="159" w:name="_Toc806"/>
      <w:bookmarkStart w:id="160" w:name="_Toc2647"/>
      <w:bookmarkStart w:id="161" w:name="_Toc14117"/>
      <w:bookmarkStart w:id="162" w:name="_Toc66825177"/>
      <w:bookmarkStart w:id="163" w:name="_Toc82850591"/>
      <w:r>
        <w:rPr>
          <w:rFonts w:hint="eastAsia"/>
        </w:rPr>
        <w:t>（六）</w:t>
      </w:r>
      <w:bookmarkEnd w:id="154"/>
      <w:bookmarkEnd w:id="155"/>
      <w:bookmarkEnd w:id="156"/>
      <w:bookmarkEnd w:id="157"/>
      <w:bookmarkEnd w:id="159"/>
      <w:bookmarkEnd w:id="160"/>
      <w:bookmarkEnd w:id="161"/>
      <w:bookmarkEnd w:id="162"/>
      <w:r>
        <w:rPr>
          <w:rFonts w:hint="eastAsia"/>
        </w:rPr>
        <w:t>推进教育数字化改革</w:t>
      </w:r>
      <w:bookmarkEnd w:id="163"/>
    </w:p>
    <w:p>
      <w:r>
        <w:rPr>
          <w:rFonts w:hint="eastAsia"/>
        </w:rPr>
        <w:t xml:space="preserve"> 坚持数字赋能、创新驱动，以数字化改革撬动教育领域各方面改革，按照打造“重要窗口”，推进“教育魔方”建设，</w:t>
      </w:r>
      <w:r>
        <w:t>从基础层、数据层和应用层三个层面，推进建设努力为全区教育教学和管理提供高质量的信息化网络环境保障。</w:t>
      </w:r>
    </w:p>
    <w:p>
      <w:pPr>
        <w:ind w:firstLine="643"/>
      </w:pPr>
      <w:r>
        <w:rPr>
          <w:rFonts w:hint="eastAsia"/>
          <w:b/>
        </w:rPr>
        <w:t>优化教育数字化基础环境。</w:t>
      </w:r>
      <w:r>
        <w:rPr>
          <w:rFonts w:hint="eastAsia"/>
        </w:rPr>
        <w:t>加强硬件建设为基点，持续优化智慧校园环境，扎实推进“智慧校园标杆学校”建设。加快实施教育城域网IPv6升级改造，分批完成全区教育城域网交换设备及关键网络安全设备更换。组建教育大数据中心，拓宽信息渠道。完善网络安全防护体系，实施网络安全等级保护，统筹开展网络安全协调指挥和应急防控等工作。</w:t>
      </w:r>
    </w:p>
    <w:p>
      <w:pPr>
        <w:pStyle w:val="2"/>
        <w:ind w:firstLine="643"/>
      </w:pPr>
      <w:r>
        <w:rPr>
          <w:rFonts w:hint="eastAsia"/>
          <w:b/>
          <w:bCs/>
        </w:rPr>
        <w:t>推动新技术与教育深度融合。</w:t>
      </w:r>
      <w:r>
        <w:rPr>
          <w:rFonts w:hint="eastAsia"/>
        </w:rPr>
        <w:t>提升“网络学习”应用水平、打造“智慧课堂”新样态、开展“精准教育”新实践、助力“互联网+义务教育”工程、实施“信息素养”提升工程。强化教师专业发展信息团队的实践与研究，确认学校的需求分析完成相应的技术支持与配备。鼓励学校参与“之江汇”、“甬上云校”等平台的数字课程建设和各级各级教育信息化项目研究，配合做好区域教育信息化相关研究项目的推进、落实工作。全面落实浙江省“互联网+义务教育”中小学校结对帮扶技术支撑保障工作。</w:t>
      </w:r>
    </w:p>
    <w:p>
      <w:pPr>
        <w:ind w:firstLine="643"/>
      </w:pPr>
      <w:r>
        <w:rPr>
          <w:b/>
          <w:color w:val="000000"/>
          <w:szCs w:val="28"/>
        </w:rPr>
        <w:t>加快教育数智治理转型。</w:t>
      </w:r>
      <w:r>
        <w:t>突出“整体智治”，探索教育治理数字化。</w:t>
      </w:r>
      <w:r>
        <w:rPr>
          <w:rFonts w:hint="eastAsia"/>
        </w:rPr>
        <w:t>加快多部门业务协同，统筹推进教育系统党建、校外培训机构智能监管、教育行业社会组织规范管理、学生综合素质评价、学生智慧资助应用、学生思想政治教育、平安校园建设、学校布局规划优化、义务教育阶段学校入学预警、智能教育督导、教师队伍优化提升、教育开放合作等领域在数据赋能方面的协同应用。成立数字改革工作领导小组，落实省、市数字化教育改革任务。</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1" w:hRule="atLeast"/>
          <w:jc w:val="center"/>
        </w:trPr>
        <w:tc>
          <w:tcPr>
            <w:tcW w:w="8869" w:type="dxa"/>
          </w:tcPr>
          <w:p>
            <w:pPr>
              <w:pStyle w:val="2"/>
              <w:ind w:firstLine="0" w:firstLineChars="0"/>
              <w:jc w:val="center"/>
              <w:rPr>
                <w:b/>
                <w:bCs/>
                <w:sz w:val="28"/>
                <w:szCs w:val="28"/>
                <w:shd w:val="clear" w:color="auto" w:fill="FFFFFF"/>
                <w:lang w:bidi="ar"/>
              </w:rPr>
            </w:pPr>
            <w:r>
              <w:rPr>
                <w:rFonts w:hint="eastAsia"/>
                <w:b/>
                <w:bCs/>
                <w:sz w:val="28"/>
                <w:szCs w:val="28"/>
                <w:shd w:val="clear" w:color="auto" w:fill="FFFFFF"/>
                <w:lang w:bidi="ar"/>
              </w:rPr>
              <w:t>专栏1</w:t>
            </w:r>
            <w:r>
              <w:rPr>
                <w:b/>
                <w:bCs/>
                <w:sz w:val="28"/>
                <w:szCs w:val="28"/>
                <w:shd w:val="clear" w:color="auto" w:fill="FFFFFF"/>
                <w:lang w:bidi="ar"/>
              </w:rPr>
              <w:t xml:space="preserve">2 </w:t>
            </w:r>
            <w:r>
              <w:rPr>
                <w:rFonts w:hint="eastAsia"/>
                <w:b/>
                <w:bCs/>
                <w:sz w:val="28"/>
                <w:szCs w:val="28"/>
                <w:shd w:val="clear" w:color="auto" w:fill="FFFFFF"/>
                <w:lang w:bidi="ar"/>
              </w:rPr>
              <w:t>智慧教育建设工程</w:t>
            </w:r>
          </w:p>
          <w:p>
            <w:pPr>
              <w:pStyle w:val="22"/>
              <w:ind w:firstLine="560" w:firstLineChars="200"/>
              <w:rPr>
                <w:b/>
                <w:color w:val="000000" w:themeColor="text1"/>
                <w:sz w:val="28"/>
                <w:szCs w:val="28"/>
                <w14:textFill>
                  <w14:solidFill>
                    <w14:schemeClr w14:val="tx1"/>
                  </w14:solidFill>
                </w14:textFill>
              </w:rPr>
            </w:pPr>
            <w:r>
              <w:rPr>
                <w:rFonts w:hint="eastAsia"/>
                <w:bCs/>
                <w:color w:val="000000" w:themeColor="text1"/>
                <w:sz w:val="28"/>
                <w:szCs w:val="28"/>
                <w14:textFill>
                  <w14:solidFill>
                    <w14:schemeClr w14:val="tx1"/>
                  </w14:solidFill>
                </w14:textFill>
              </w:rPr>
              <w:t>到2025年，拥有创新实验室的学校比例、创客教室覆盖率达到100%。建设教育公共服务平台和教育大数据中心，推进“互联网+义务教育”结对帮扶,实现“互联网+义务教育”全覆盖、高质量运行。建立以“1个公共服务平台＋Ｎ个应用平台＋1个教育大数据中心”为框架的精准教学支撑和服务体系。</w:t>
            </w:r>
          </w:p>
        </w:tc>
      </w:tr>
    </w:tbl>
    <w:p>
      <w:pPr>
        <w:pStyle w:val="4"/>
        <w:ind w:firstLine="640"/>
      </w:pPr>
      <w:bookmarkStart w:id="164" w:name="_Toc27293"/>
      <w:bookmarkStart w:id="165" w:name="_Toc66825178"/>
      <w:bookmarkStart w:id="166" w:name="_Toc24610"/>
      <w:bookmarkStart w:id="167" w:name="_Toc82850592"/>
      <w:r>
        <w:rPr>
          <w:rFonts w:hint="eastAsia"/>
        </w:rPr>
        <w:t>（七）</w:t>
      </w:r>
      <w:bookmarkEnd w:id="164"/>
      <w:bookmarkEnd w:id="165"/>
      <w:bookmarkEnd w:id="166"/>
      <w:r>
        <w:rPr>
          <w:rFonts w:hint="eastAsia"/>
        </w:rPr>
        <w:t>谋划教育治理现代化</w:t>
      </w:r>
      <w:bookmarkEnd w:id="167"/>
    </w:p>
    <w:p>
      <w:r>
        <w:rPr>
          <w:rFonts w:hint="eastAsia"/>
        </w:rPr>
        <w:t>立足建设高质量教育体系，全力提升依法治教水平，系统推进新时代教育评价改革，推动形成社会参与教育治理机制，持续规范优化民办教育，高水平推进奉化区教育治理现代化。</w:t>
      </w:r>
      <w:r>
        <w:t xml:space="preserve"> </w:t>
      </w:r>
    </w:p>
    <w:p>
      <w:pPr>
        <w:ind w:firstLine="643"/>
      </w:pPr>
      <w:r>
        <w:rPr>
          <w:rFonts w:hint="eastAsia"/>
          <w:b/>
          <w:bCs/>
        </w:rPr>
        <w:t>不断提升依法治教水平。</w:t>
      </w:r>
      <w:r>
        <w:rPr>
          <w:rFonts w:hint="eastAsia"/>
        </w:rPr>
        <w:t>坚持依法行政，落实“四张清单”制度，不断提升“一网通办”实效性。规范依法治教，深化依法治校工作，探索推进依法治校特色校和标杆校建设，提升政风行风建设水平。进一步优化法治副校长、专业法律顾问等校内外资源的整合，营造依法治校良好环境。加强青少年法治宣传教育，持续开展“法治进校园”活动，培育法治文化，增强师生尊法守法用法的意识和能力。</w:t>
      </w:r>
    </w:p>
    <w:p>
      <w:pPr>
        <w:ind w:firstLine="643"/>
      </w:pPr>
      <w:r>
        <w:rPr>
          <w:rFonts w:hint="eastAsia"/>
          <w:b/>
          <w:bCs/>
        </w:rPr>
        <w:t>持续实施评价体系改革。</w:t>
      </w:r>
      <w:r>
        <w:rPr>
          <w:rFonts w:hint="eastAsia"/>
        </w:rPr>
        <w:t>坚持把立德树人成效作为根本标准，坚决克服“五唯”的顽瘴痼疾，改进结果评价，强化过程评价，探索增值评价，健全综合评价。完善幼儿园评价，改进中小学校评价，健全职业学校评价。不断健全优化学校内部质量保障制度，坚决克服重智育轻德育、重分数轻素质等片面办学行为，促进学生身心健康、全面发展。创新“五育”融合学生评价，探索过程性和增值性评价，在完善德育评价上不断深化，在强化体育评价上健全机制，在改进美育评价、加强劳动教育评价上先行探索，在创新素养评价上形成特色亮点，强化信息技术赋能。进一步发挥学校“策源地”和师生“动力源”作用，鼓励、支持学校自主探索创新评价方法，并适时开展总结提炼、辐射推广。</w:t>
      </w:r>
    </w:p>
    <w:p>
      <w:pPr>
        <w:ind w:firstLine="643"/>
      </w:pPr>
      <w:r>
        <w:rPr>
          <w:b/>
        </w:rPr>
        <w:t>健全学校家庭社会协同育人机制。</w:t>
      </w:r>
      <w:r>
        <w:rPr>
          <w:rFonts w:hint="eastAsia"/>
        </w:rPr>
        <w:t>鼓励学校开放办学，推动学校与社区资源共建共享，有序、稳步实施学校运动场地等资源向公众开放。以职业教育为平台，引导企业积极参与职业学校教学资源建设。建立健全学校、家庭、社区协作机制，发挥社会监督、评价功能，建立开放多元的教育共治格局。</w:t>
      </w:r>
      <w:r>
        <w:t>贯彻落实《浙江省家庭教育促进条例》，探索并形成家校社一体化育人运作模式和运行机制，开展家长学校评优评先工作。</w:t>
      </w:r>
    </w:p>
    <w:p>
      <w:pPr>
        <w:ind w:firstLine="643"/>
        <w:rPr>
          <w:b/>
          <w:bCs/>
          <w:kern w:val="2"/>
        </w:rPr>
      </w:pPr>
      <w:bookmarkStart w:id="168" w:name="_Toc6074"/>
      <w:bookmarkStart w:id="169" w:name="_Toc6407"/>
      <w:bookmarkStart w:id="170" w:name="_Toc66825175"/>
      <w:bookmarkStart w:id="171" w:name="_Toc3779"/>
      <w:bookmarkStart w:id="172" w:name="_Toc401"/>
      <w:bookmarkStart w:id="173" w:name="_Toc16469"/>
      <w:bookmarkStart w:id="174" w:name="_Toc9504"/>
      <w:bookmarkStart w:id="175" w:name="_Toc22998"/>
      <w:r>
        <w:rPr>
          <w:rFonts w:hint="eastAsia"/>
          <w:b/>
          <w:bCs/>
          <w:kern w:val="2"/>
        </w:rPr>
        <w:t>优化民办教育布局提升办学品质</w:t>
      </w:r>
      <w:bookmarkEnd w:id="168"/>
      <w:bookmarkEnd w:id="169"/>
      <w:bookmarkEnd w:id="170"/>
      <w:r>
        <w:rPr>
          <w:rFonts w:hint="eastAsia"/>
          <w:b/>
          <w:bCs/>
          <w:kern w:val="2"/>
        </w:rPr>
        <w:t>。</w:t>
      </w:r>
      <w:r>
        <w:rPr>
          <w:rFonts w:hint="eastAsia"/>
          <w:shd w:val="clear" w:color="auto" w:fill="FFFFFF"/>
          <w:lang w:bidi="ar"/>
        </w:rPr>
        <w:t>继续优化民办学校布局，进一步规范民办学校招生行为。加大对民办随迁子女学校的财政支持力度，全区随迁子女公办学校入学率达到85%以上，提高民办学校办学品质。</w:t>
      </w:r>
      <w:r>
        <w:rPr>
          <w:rFonts w:hint="eastAsia"/>
        </w:rPr>
        <w:t>规范民办学校布局，加大对民办随迁子女学校的财政支持力度。</w:t>
      </w:r>
      <w:r>
        <w:rPr>
          <w:rFonts w:hint="eastAsia"/>
          <w:shd w:val="clear" w:color="auto" w:fill="FFFFFF"/>
          <w:lang w:bidi="ar"/>
        </w:rPr>
        <w:t>支持规范社会力量兴办教育，</w:t>
      </w:r>
      <w:r>
        <w:rPr>
          <w:rFonts w:hint="eastAsia"/>
        </w:rPr>
        <w:t>健全和完善奉化区校外培训机构</w:t>
      </w:r>
      <w:r>
        <w:rPr>
          <w:rFonts w:hint="eastAsia"/>
          <w:lang w:eastAsia="zh-CN"/>
        </w:rPr>
        <w:t>治理体制</w:t>
      </w:r>
      <w:r>
        <w:rPr>
          <w:rFonts w:hint="eastAsia"/>
        </w:rPr>
        <w:t>，</w:t>
      </w:r>
      <w:r>
        <w:rPr>
          <w:rFonts w:hint="eastAsia"/>
          <w:lang w:eastAsia="zh-CN"/>
        </w:rPr>
        <w:t>全面完成学科类培训机构“营转非”工作，</w:t>
      </w:r>
      <w:r>
        <w:rPr>
          <w:rFonts w:hint="eastAsia"/>
        </w:rPr>
        <w:t>积极推进校外培训机构一站式服务平台建设</w:t>
      </w:r>
      <w:r>
        <w:rPr>
          <w:rFonts w:hint="eastAsia"/>
          <w:lang w:eastAsia="zh-CN"/>
        </w:rPr>
        <w:t>，</w:t>
      </w:r>
      <w:r>
        <w:rPr>
          <w:rFonts w:hint="eastAsia"/>
        </w:rPr>
        <w:t xml:space="preserve">加强校外培训机构安全稳定和风险防控、运营资质和营业行为、教师资质、培训时间、预收费管理、办学行为等六方面治理。 </w:t>
      </w:r>
    </w:p>
    <w:p>
      <w:pPr>
        <w:ind w:firstLine="643"/>
        <w:rPr>
          <w:shd w:val="clear" w:color="auto" w:fill="FFFFFF"/>
        </w:rPr>
      </w:pPr>
      <w:r>
        <w:rPr>
          <w:rFonts w:hint="eastAsia"/>
          <w:b/>
          <w:bCs/>
          <w:kern w:val="2"/>
        </w:rPr>
        <w:t>加强校园安全风险防控体系建设。</w:t>
      </w:r>
      <w:r>
        <w:rPr>
          <w:rFonts w:hint="eastAsia"/>
        </w:rPr>
        <w:t>重点围绕有效预防师生安全事件发生，做好提升校园安全管理能力、“三防”软硬件水平和师生安全防范意识等工作，严格落实一岗双责，充分发挥科技化管理手段作用。</w:t>
      </w:r>
      <w:r>
        <w:rPr>
          <w:rFonts w:hint="eastAsia"/>
          <w:kern w:val="2"/>
        </w:rPr>
        <w:t>继续深入推进等级平安校园、警务联络室和阳光厨房创建工作，不断提升创建质量，全面推进校园安全管理标准建设。强化校园安全隐患排查整治工作，健全完善长效机制建设。建强配全校园安全管理队伍，严格落实学校安全管理主体责任，明确各级管理人员岗位职责和工作责任，提升学校安保人员专业化建设水平，营造全方位、全覆盖的安全防护网络。</w:t>
      </w:r>
      <w:r>
        <w:rPr>
          <w:rFonts w:hint="eastAsia"/>
          <w:shd w:val="clear" w:color="auto" w:fill="FFFFFF"/>
        </w:rPr>
        <w:t>深入推进智慧安防校园和学生“平安回家”协同智治平台项目建设，为师生营造更安全、阳光的学习工作环境。</w:t>
      </w:r>
    </w:p>
    <w:tbl>
      <w:tblPr>
        <w:tblStyle w:val="24"/>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8" w:type="dxa"/>
          </w:tcPr>
          <w:p>
            <w:pPr>
              <w:pStyle w:val="2"/>
              <w:ind w:firstLine="0" w:firstLineChars="0"/>
              <w:jc w:val="center"/>
              <w:rPr>
                <w:b/>
                <w:bCs/>
                <w:sz w:val="28"/>
                <w:szCs w:val="28"/>
                <w:shd w:val="clear" w:color="auto" w:fill="FFFFFF"/>
                <w:lang w:bidi="ar"/>
              </w:rPr>
            </w:pPr>
            <w:r>
              <w:rPr>
                <w:rFonts w:hint="eastAsia"/>
                <w:b/>
                <w:bCs/>
                <w:sz w:val="28"/>
                <w:szCs w:val="28"/>
                <w:shd w:val="clear" w:color="auto" w:fill="FFFFFF"/>
                <w:lang w:bidi="ar"/>
              </w:rPr>
              <w:t>专栏1</w:t>
            </w:r>
            <w:r>
              <w:rPr>
                <w:b/>
                <w:bCs/>
                <w:sz w:val="28"/>
                <w:szCs w:val="28"/>
                <w:shd w:val="clear" w:color="auto" w:fill="FFFFFF"/>
                <w:lang w:bidi="ar"/>
              </w:rPr>
              <w:t xml:space="preserve">3 </w:t>
            </w:r>
            <w:r>
              <w:rPr>
                <w:rFonts w:hint="eastAsia"/>
                <w:b/>
                <w:bCs/>
                <w:sz w:val="28"/>
                <w:szCs w:val="28"/>
                <w:shd w:val="clear" w:color="auto" w:fill="FFFFFF"/>
                <w:lang w:bidi="ar"/>
              </w:rPr>
              <w:t>深化中小学教育质量绿色评价</w:t>
            </w:r>
          </w:p>
          <w:p>
            <w:pPr>
              <w:pStyle w:val="2"/>
              <w:ind w:firstLine="560"/>
              <w:rPr>
                <w:sz w:val="28"/>
                <w:szCs w:val="28"/>
                <w:shd w:val="clear" w:color="auto" w:fill="FFFFFF"/>
                <w:lang w:bidi="ar"/>
              </w:rPr>
            </w:pPr>
            <w:r>
              <w:rPr>
                <w:rFonts w:hint="eastAsia"/>
                <w:sz w:val="28"/>
                <w:szCs w:val="28"/>
                <w:shd w:val="clear" w:color="auto" w:fill="FFFFFF"/>
                <w:lang w:bidi="ar"/>
              </w:rPr>
              <w:t>制定奉化区绿色可持续发展教育的实施意见和行动方案，深化“教学生学”，深入推进“基础教育课程改革实验示范区、示范校”建设，建立和完善义务教育阶段教育质量监测评估体系，至2025年，初中学业水平成绩列全市上游。</w:t>
            </w:r>
          </w:p>
        </w:tc>
      </w:tr>
      <w:bookmarkEnd w:id="171"/>
      <w:bookmarkEnd w:id="172"/>
      <w:bookmarkEnd w:id="173"/>
      <w:bookmarkEnd w:id="174"/>
      <w:bookmarkEnd w:id="175"/>
    </w:tbl>
    <w:p>
      <w:pPr>
        <w:pStyle w:val="3"/>
      </w:pPr>
      <w:bookmarkStart w:id="176" w:name="_Toc66825179"/>
      <w:bookmarkStart w:id="177" w:name="_Toc2844"/>
      <w:bookmarkStart w:id="178" w:name="_Toc10380"/>
      <w:bookmarkStart w:id="179" w:name="_Toc82850593"/>
      <w:bookmarkStart w:id="180" w:name="_Toc17055"/>
      <w:bookmarkStart w:id="181" w:name="_Toc8147"/>
      <w:bookmarkStart w:id="182" w:name="_Toc4973"/>
      <w:bookmarkStart w:id="183" w:name="_Toc26179"/>
      <w:bookmarkStart w:id="184" w:name="_Toc22213"/>
      <w:r>
        <w:rPr>
          <w:rFonts w:hint="eastAsia"/>
        </w:rPr>
        <w:t>五、保障措施</w:t>
      </w:r>
      <w:bookmarkEnd w:id="176"/>
      <w:bookmarkEnd w:id="177"/>
      <w:bookmarkEnd w:id="178"/>
      <w:bookmarkEnd w:id="179"/>
    </w:p>
    <w:p>
      <w:pPr>
        <w:pStyle w:val="4"/>
        <w:ind w:firstLine="640"/>
      </w:pPr>
      <w:bookmarkStart w:id="185" w:name="_Toc82850594"/>
      <w:bookmarkStart w:id="186" w:name="_Toc16029"/>
      <w:bookmarkStart w:id="187" w:name="_Toc66825180"/>
      <w:bookmarkStart w:id="188" w:name="_Toc13022"/>
      <w:r>
        <w:rPr>
          <w:rFonts w:hint="eastAsia"/>
        </w:rPr>
        <w:t>（一）</w:t>
      </w:r>
      <w:bookmarkEnd w:id="180"/>
      <w:bookmarkEnd w:id="181"/>
      <w:bookmarkEnd w:id="182"/>
      <w:bookmarkEnd w:id="183"/>
      <w:bookmarkEnd w:id="184"/>
      <w:r>
        <w:rPr>
          <w:rFonts w:hint="eastAsia"/>
        </w:rPr>
        <w:t>组织保障</w:t>
      </w:r>
      <w:bookmarkEnd w:id="185"/>
      <w:bookmarkEnd w:id="186"/>
      <w:bookmarkEnd w:id="187"/>
      <w:bookmarkEnd w:id="188"/>
    </w:p>
    <w:p>
      <w:r>
        <w:rPr>
          <w:rFonts w:hint="eastAsia"/>
          <w:bCs/>
        </w:rPr>
        <w:t>坚持党对教育工作全面的领导，完善党委统一领导、党政齐抓共管、部门各负其责、社会力量积极支持的工作格局，把教育现代化作为工作的重中之重、作为“一把手工程”扎实推进。推动党对教育规划实施的统筹领导，</w:t>
      </w:r>
      <w:bookmarkStart w:id="189" w:name="_Toc17339"/>
      <w:bookmarkStart w:id="190" w:name="_Toc1481"/>
      <w:bookmarkStart w:id="191" w:name="_Toc8769"/>
      <w:bookmarkStart w:id="192" w:name="_Toc7144"/>
      <w:bookmarkStart w:id="193" w:name="_Toc18487"/>
      <w:r>
        <w:rPr>
          <w:rFonts w:hint="eastAsia"/>
        </w:rPr>
        <w:t>在区委教育工作领导小组的全面领导下，形成落实</w:t>
      </w:r>
      <w:bookmarkStart w:id="237" w:name="_GoBack"/>
      <w:bookmarkEnd w:id="237"/>
      <w:r>
        <w:rPr>
          <w:rFonts w:hint="eastAsia"/>
        </w:rPr>
        <w:t>党的领导全方位、全覆盖的工作格局。确保教育的社会主义方向，推动教育事业科学发展。定期向区人民代表大会及其常委会报告教育改革和发展情况，充分听取政协和各民主党派的意见和建议。</w:t>
      </w:r>
      <w:r>
        <w:t>建立监督问责机制</w:t>
      </w:r>
      <w:r>
        <w:rPr>
          <w:rFonts w:hint="eastAsia"/>
        </w:rPr>
        <w:t>，</w:t>
      </w:r>
      <w:r>
        <w:t>将规划实施推进情况纳入绩效考核内容</w:t>
      </w:r>
      <w:r>
        <w:rPr>
          <w:rFonts w:hint="eastAsia"/>
        </w:rPr>
        <w:t>，</w:t>
      </w:r>
      <w:r>
        <w:t>定期开展督促检查</w:t>
      </w:r>
      <w:r>
        <w:rPr>
          <w:rFonts w:hint="eastAsia"/>
        </w:rPr>
        <w:t>，</w:t>
      </w:r>
      <w:r>
        <w:t>接受人大、政协监督</w:t>
      </w:r>
      <w:r>
        <w:rPr>
          <w:rFonts w:hint="eastAsia"/>
        </w:rPr>
        <w:t>。区政府各组成部门加强协调，齐心协力支持教育发展，动员和争取社会各方面关心支持教育事业。</w:t>
      </w:r>
    </w:p>
    <w:bookmarkEnd w:id="189"/>
    <w:bookmarkEnd w:id="190"/>
    <w:bookmarkEnd w:id="191"/>
    <w:bookmarkEnd w:id="192"/>
    <w:bookmarkEnd w:id="193"/>
    <w:p>
      <w:pPr>
        <w:pStyle w:val="4"/>
        <w:ind w:firstLine="640"/>
      </w:pPr>
      <w:bookmarkStart w:id="194" w:name="_Toc12777"/>
      <w:bookmarkStart w:id="195" w:name="_Toc16057"/>
      <w:bookmarkStart w:id="196" w:name="_Toc21754"/>
      <w:bookmarkStart w:id="197" w:name="_Toc16719"/>
      <w:bookmarkStart w:id="198" w:name="_Toc25981"/>
      <w:bookmarkStart w:id="199" w:name="_Toc12810"/>
      <w:bookmarkStart w:id="200" w:name="_Toc2161"/>
      <w:bookmarkStart w:id="201" w:name="_Toc66825181"/>
      <w:bookmarkStart w:id="202" w:name="_Toc82850595"/>
      <w:r>
        <w:rPr>
          <w:rFonts w:hint="eastAsia"/>
        </w:rPr>
        <w:t>（二）</w:t>
      </w:r>
      <w:bookmarkEnd w:id="194"/>
      <w:bookmarkEnd w:id="195"/>
      <w:bookmarkEnd w:id="196"/>
      <w:bookmarkEnd w:id="197"/>
      <w:bookmarkEnd w:id="198"/>
      <w:r>
        <w:rPr>
          <w:rFonts w:hint="eastAsia"/>
        </w:rPr>
        <w:t>制度保障</w:t>
      </w:r>
      <w:bookmarkEnd w:id="199"/>
      <w:bookmarkEnd w:id="200"/>
      <w:bookmarkEnd w:id="201"/>
      <w:bookmarkEnd w:id="202"/>
    </w:p>
    <w:p>
      <w:bookmarkStart w:id="203" w:name="_Toc63879899"/>
      <w:bookmarkStart w:id="204" w:name="_Toc63878573"/>
      <w:bookmarkStart w:id="205" w:name="_Toc3044"/>
      <w:bookmarkStart w:id="206" w:name="_Toc7694"/>
      <w:bookmarkStart w:id="207" w:name="_Toc16926"/>
      <w:bookmarkStart w:id="208" w:name="_Toc27313"/>
      <w:bookmarkStart w:id="209" w:name="_Toc19924"/>
      <w:r>
        <w:rPr>
          <w:rFonts w:hint="eastAsia"/>
        </w:rPr>
        <w:t>健全教育决策机制，完善决策程序，增强决策透明度和公</w:t>
      </w:r>
      <w:bookmarkEnd w:id="203"/>
      <w:bookmarkStart w:id="210" w:name="_Toc63879900"/>
      <w:r>
        <w:rPr>
          <w:rFonts w:hint="eastAsia"/>
        </w:rPr>
        <w:t>众参与度，推进教育决策科学化和民主化。加强教育决策研究，建立重大教育决策咨询制度，充分发挥专家学者在全区重大教育决策和重大项目实施过程中的重要作用。建立和完善教育重大事项公示制度</w:t>
      </w:r>
      <w:bookmarkEnd w:id="204"/>
      <w:bookmarkEnd w:id="210"/>
      <w:bookmarkStart w:id="211" w:name="_Toc63879901"/>
      <w:bookmarkStart w:id="212" w:name="_Toc63878574"/>
      <w:r>
        <w:rPr>
          <w:rFonts w:hint="eastAsia"/>
        </w:rPr>
        <w:t>，</w:t>
      </w:r>
      <w:bookmarkEnd w:id="211"/>
      <w:bookmarkStart w:id="213" w:name="_Toc63879902"/>
      <w:r>
        <w:rPr>
          <w:rFonts w:hint="eastAsia"/>
        </w:rPr>
        <w:t>区政府各有关部门积极配合，大力协作，共同抓好规划的贯彻落实。区政府教育督导室对规划实施情况进行监测评估和跟踪检查。</w:t>
      </w:r>
      <w:bookmarkEnd w:id="212"/>
      <w:bookmarkEnd w:id="213"/>
      <w:bookmarkStart w:id="214" w:name="_Toc63878575"/>
      <w:bookmarkStart w:id="215" w:name="_Toc63879903"/>
      <w:r>
        <w:rPr>
          <w:rFonts w:hint="eastAsia"/>
        </w:rPr>
        <w:t>营造关心支持教育发展的良好生态，发挥舆论宣传引导作用，动员全社会共同关心支持教育事业，建立健全公众参与机制</w:t>
      </w:r>
      <w:bookmarkEnd w:id="214"/>
      <w:bookmarkEnd w:id="215"/>
      <w:r>
        <w:rPr>
          <w:rFonts w:hint="eastAsia"/>
        </w:rPr>
        <w:t>，</w:t>
      </w:r>
      <w:r>
        <w:t>做好教育规划及相关信息公开</w:t>
      </w:r>
      <w:r>
        <w:rPr>
          <w:rFonts w:hint="eastAsia"/>
        </w:rPr>
        <w:t>，</w:t>
      </w:r>
      <w:r>
        <w:t>接受市民和社会监督</w:t>
      </w:r>
      <w:r>
        <w:rPr>
          <w:rFonts w:hint="eastAsia"/>
        </w:rPr>
        <w:t>。</w:t>
      </w:r>
    </w:p>
    <w:p>
      <w:pPr>
        <w:pStyle w:val="4"/>
        <w:ind w:firstLine="640"/>
      </w:pPr>
      <w:bookmarkStart w:id="216" w:name="_Toc66825182"/>
      <w:bookmarkStart w:id="217" w:name="_Toc23195"/>
      <w:bookmarkStart w:id="218" w:name="_Toc14608"/>
      <w:bookmarkStart w:id="219" w:name="_Toc82850596"/>
      <w:r>
        <w:rPr>
          <w:rFonts w:hint="eastAsia"/>
        </w:rPr>
        <w:t>（三）</w:t>
      </w:r>
      <w:bookmarkEnd w:id="205"/>
      <w:bookmarkEnd w:id="206"/>
      <w:bookmarkEnd w:id="207"/>
      <w:bookmarkEnd w:id="208"/>
      <w:bookmarkEnd w:id="209"/>
      <w:r>
        <w:rPr>
          <w:rFonts w:hint="eastAsia"/>
        </w:rPr>
        <w:t>经费保障</w:t>
      </w:r>
      <w:bookmarkEnd w:id="216"/>
      <w:bookmarkEnd w:id="217"/>
      <w:bookmarkEnd w:id="218"/>
      <w:bookmarkEnd w:id="219"/>
    </w:p>
    <w:p>
      <w:r>
        <w:rPr>
          <w:rFonts w:hint="eastAsia"/>
        </w:rPr>
        <w:t>切实保障“十四五”期间教育经费投入和项目立项，继续确保一般公共预算教育支出逐年只增不减，确保按照在校学生人数平均的一般公共预算教育支出逐年只增不减。建立定额标准动态调整机制，区教育局会同相关部门逐步建立科学合理的各学段公用经费定额标准，教育经费投入继续向深化教育改革和提升教育质量倾斜</w:t>
      </w:r>
      <w:bookmarkStart w:id="220" w:name="_Toc63879905"/>
      <w:bookmarkStart w:id="221" w:name="_Toc63878577"/>
      <w:bookmarkStart w:id="222" w:name="_Toc15303"/>
      <w:bookmarkStart w:id="223" w:name="_Toc8"/>
      <w:bookmarkStart w:id="224" w:name="_Toc4214"/>
      <w:bookmarkStart w:id="225" w:name="_Toc24910"/>
      <w:bookmarkStart w:id="226" w:name="_Toc6792"/>
      <w:r>
        <w:rPr>
          <w:rFonts w:hint="eastAsia"/>
        </w:rPr>
        <w:t>。坚持</w:t>
      </w:r>
      <w:bookmarkEnd w:id="220"/>
      <w:bookmarkStart w:id="227" w:name="_Toc63879906"/>
      <w:r>
        <w:rPr>
          <w:rFonts w:hint="eastAsia"/>
        </w:rPr>
        <w:t>依法管理，扩大学校经费管理自主权。建立科学化、精细化的预算管理机制，切实提高预算执行率。</w:t>
      </w:r>
      <w:bookmarkEnd w:id="221"/>
      <w:bookmarkEnd w:id="227"/>
      <w:bookmarkStart w:id="228" w:name="_Toc63878578"/>
      <w:bookmarkStart w:id="229" w:name="_Toc63879908"/>
      <w:r>
        <w:rPr>
          <w:rFonts w:hint="eastAsia"/>
        </w:rPr>
        <w:t>建立教育经费管理信息系统，提升财务管理信息化水平，有效监督和防范学校财务风险。</w:t>
      </w:r>
      <w:bookmarkEnd w:id="228"/>
      <w:bookmarkEnd w:id="229"/>
      <w:bookmarkStart w:id="230" w:name="_Toc63879909"/>
      <w:bookmarkStart w:id="231" w:name="_Toc63878579"/>
      <w:r>
        <w:rPr>
          <w:rFonts w:hint="eastAsia"/>
        </w:rPr>
        <w:t>建立经费使用绩效评价制度，提高教育经费</w:t>
      </w:r>
      <w:bookmarkEnd w:id="230"/>
      <w:bookmarkStart w:id="232" w:name="_Toc63879910"/>
      <w:r>
        <w:rPr>
          <w:rFonts w:hint="eastAsia"/>
        </w:rPr>
        <w:t>使用效益，对重大项目经费使用开展绩效评价。</w:t>
      </w:r>
      <w:bookmarkEnd w:id="222"/>
      <w:bookmarkEnd w:id="223"/>
      <w:bookmarkEnd w:id="224"/>
      <w:bookmarkEnd w:id="225"/>
      <w:bookmarkEnd w:id="226"/>
      <w:bookmarkEnd w:id="231"/>
      <w:bookmarkEnd w:id="232"/>
      <w:r>
        <w:rPr>
          <w:rFonts w:hint="eastAsia"/>
        </w:rPr>
        <w:t>保证规划项目经费拨付，提高经费使用效益。</w:t>
      </w:r>
    </w:p>
    <w:p>
      <w:pPr>
        <w:pStyle w:val="4"/>
        <w:ind w:firstLine="640"/>
      </w:pPr>
      <w:bookmarkStart w:id="233" w:name="_Toc82850597"/>
      <w:bookmarkStart w:id="234" w:name="_Toc4698"/>
      <w:r>
        <w:rPr>
          <w:rFonts w:hint="eastAsia"/>
        </w:rPr>
        <w:t>（四）督导保障</w:t>
      </w:r>
      <w:bookmarkEnd w:id="233"/>
      <w:bookmarkEnd w:id="234"/>
    </w:p>
    <w:p>
      <w:bookmarkStart w:id="235" w:name="_Toc24303"/>
      <w:r>
        <w:rPr>
          <w:rFonts w:hint="eastAsia"/>
        </w:rPr>
        <w:t>加强督学队伍建设，提高督学专业化水平，建立和完善督学培训机制，严格督导队伍的管理和监督，强化督学实绩考核。</w:t>
      </w:r>
      <w:bookmarkEnd w:id="235"/>
      <w:r>
        <w:rPr>
          <w:rFonts w:hint="eastAsia"/>
        </w:rPr>
        <w:t>强化教育督导结果运用，健全报告、反馈、整改、复查、激励、约谈、通报、问责等督导结果运用机制，落实督导管理科学化和研究常态化。建立规划实施情况评估督查制度，</w:t>
      </w:r>
      <w:r>
        <w:t>建立规划</w:t>
      </w:r>
      <w:r>
        <w:rPr>
          <w:rFonts w:hint="eastAsia"/>
        </w:rPr>
        <w:t>年度监测、</w:t>
      </w:r>
      <w:r>
        <w:t>中期评估和终期总结监测制度</w:t>
      </w:r>
      <w:r>
        <w:rPr>
          <w:rFonts w:hint="eastAsia"/>
        </w:rPr>
        <w:t>，由督导部门</w:t>
      </w:r>
      <w:r>
        <w:t>对本规划实施情况开展跟踪监测和考核评价</w:t>
      </w:r>
      <w:r>
        <w:rPr>
          <w:rFonts w:hint="eastAsia"/>
        </w:rPr>
        <w:t>，</w:t>
      </w:r>
      <w:r>
        <w:t>即时反馈评估监测结果和改进建议</w:t>
      </w:r>
      <w:r>
        <w:rPr>
          <w:rFonts w:hint="eastAsia"/>
        </w:rPr>
        <w:t>，确保规划实施落地。</w:t>
      </w:r>
    </w:p>
    <w:p>
      <w:pPr>
        <w:pStyle w:val="2"/>
        <w:sectPr>
          <w:headerReference r:id="rId8" w:type="default"/>
          <w:footerReference r:id="rId9" w:type="default"/>
          <w:pgSz w:w="11906" w:h="16838"/>
          <w:pgMar w:top="1531" w:right="1361" w:bottom="1531" w:left="1587" w:header="851" w:footer="992" w:gutter="0"/>
          <w:pgNumType w:start="1"/>
          <w:cols w:space="425" w:num="1"/>
          <w:docGrid w:type="lines" w:linePitch="312" w:charSpace="0"/>
        </w:sectPr>
      </w:pPr>
    </w:p>
    <w:p>
      <w:pPr>
        <w:pStyle w:val="3"/>
      </w:pPr>
      <w:bookmarkStart w:id="236" w:name="_Toc82850598"/>
      <w:r>
        <w:rPr>
          <w:rFonts w:hint="eastAsia"/>
        </w:rPr>
        <w:t>附件</w:t>
      </w:r>
      <w:r>
        <w:t xml:space="preserve"> </w:t>
      </w:r>
      <w:r>
        <w:rPr>
          <w:rFonts w:hint="eastAsia"/>
        </w:rPr>
        <w:t>宁波市奉化区“十四五”教育规划重大建设项目汇总表</w:t>
      </w:r>
      <w:bookmarkEnd w:id="236"/>
    </w:p>
    <w:tbl>
      <w:tblPr>
        <w:tblStyle w:val="23"/>
        <w:tblW w:w="14538" w:type="dxa"/>
        <w:tblInd w:w="0" w:type="dxa"/>
        <w:tblLayout w:type="autofit"/>
        <w:tblCellMar>
          <w:top w:w="0" w:type="dxa"/>
          <w:left w:w="108" w:type="dxa"/>
          <w:bottom w:w="0" w:type="dxa"/>
          <w:right w:w="108" w:type="dxa"/>
        </w:tblCellMar>
      </w:tblPr>
      <w:tblGrid>
        <w:gridCol w:w="705"/>
        <w:gridCol w:w="2567"/>
        <w:gridCol w:w="1075"/>
        <w:gridCol w:w="1190"/>
        <w:gridCol w:w="4084"/>
        <w:gridCol w:w="1591"/>
        <w:gridCol w:w="1579"/>
        <w:gridCol w:w="1525"/>
        <w:gridCol w:w="222"/>
      </w:tblGrid>
      <w:tr>
        <w:tblPrEx>
          <w:tblCellMar>
            <w:top w:w="0" w:type="dxa"/>
            <w:left w:w="108" w:type="dxa"/>
            <w:bottom w:w="0" w:type="dxa"/>
            <w:right w:w="108" w:type="dxa"/>
          </w:tblCellMar>
        </w:tblPrEx>
        <w:trPr>
          <w:gridAfter w:val="1"/>
          <w:wAfter w:w="222" w:type="dxa"/>
          <w:trHeight w:val="403" w:hRule="atLeast"/>
        </w:trPr>
        <w:tc>
          <w:tcPr>
            <w:tcW w:w="14316" w:type="dxa"/>
            <w:gridSpan w:val="8"/>
            <w:tcBorders>
              <w:top w:val="nil"/>
              <w:left w:val="nil"/>
              <w:bottom w:val="nil"/>
              <w:right w:val="nil"/>
            </w:tcBorders>
            <w:shd w:val="clear" w:color="000000" w:fill="FFFFFF"/>
            <w:noWrap/>
            <w:vAlign w:val="center"/>
          </w:tcPr>
          <w:p>
            <w:pPr>
              <w:ind w:firstLine="562"/>
              <w:jc w:val="center"/>
              <w:rPr>
                <w:rFonts w:eastAsia="方正小标宋简体"/>
                <w:color w:val="000000"/>
                <w:sz w:val="21"/>
                <w:szCs w:val="21"/>
              </w:rPr>
            </w:pPr>
            <w:r>
              <w:rPr>
                <w:rFonts w:hint="eastAsia"/>
                <w:b/>
                <w:sz w:val="28"/>
                <w:szCs w:val="28"/>
              </w:rPr>
              <w:t>规划项目汇总表（实施类）</w:t>
            </w:r>
          </w:p>
        </w:tc>
      </w:tr>
      <w:tr>
        <w:tblPrEx>
          <w:tblCellMar>
            <w:top w:w="0" w:type="dxa"/>
            <w:left w:w="108" w:type="dxa"/>
            <w:bottom w:w="0" w:type="dxa"/>
            <w:right w:w="108" w:type="dxa"/>
          </w:tblCellMar>
        </w:tblPrEx>
        <w:trPr>
          <w:gridAfter w:val="1"/>
          <w:wAfter w:w="222" w:type="dxa"/>
          <w:trHeight w:val="343" w:hRule="atLeast"/>
        </w:trPr>
        <w:tc>
          <w:tcPr>
            <w:tcW w:w="11212" w:type="dxa"/>
            <w:gridSpan w:val="6"/>
            <w:tcBorders>
              <w:top w:val="nil"/>
              <w:left w:val="nil"/>
              <w:bottom w:val="nil"/>
              <w:right w:val="nil"/>
            </w:tcBorders>
            <w:shd w:val="clear" w:color="000000" w:fill="FFFFFF"/>
            <w:noWrap/>
            <w:vAlign w:val="center"/>
          </w:tcPr>
          <w:p>
            <w:pPr>
              <w:widowControl/>
              <w:spacing w:line="0" w:lineRule="atLeast"/>
              <w:ind w:firstLine="0" w:firstLineChars="0"/>
              <w:jc w:val="left"/>
              <w:rPr>
                <w:rFonts w:eastAsia="宋体"/>
                <w:color w:val="000000"/>
                <w:sz w:val="21"/>
                <w:szCs w:val="21"/>
              </w:rPr>
            </w:pPr>
            <w:r>
              <w:rPr>
                <w:rFonts w:hint="eastAsia" w:eastAsia="宋体"/>
                <w:color w:val="000000"/>
                <w:sz w:val="21"/>
                <w:szCs w:val="21"/>
              </w:rPr>
              <w:t>　</w:t>
            </w:r>
          </w:p>
        </w:tc>
        <w:tc>
          <w:tcPr>
            <w:tcW w:w="1579" w:type="dxa"/>
            <w:tcBorders>
              <w:top w:val="nil"/>
              <w:left w:val="nil"/>
              <w:bottom w:val="nil"/>
              <w:right w:val="nil"/>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　</w:t>
            </w:r>
          </w:p>
        </w:tc>
        <w:tc>
          <w:tcPr>
            <w:tcW w:w="1525" w:type="dxa"/>
            <w:tcBorders>
              <w:top w:val="nil"/>
              <w:left w:val="nil"/>
              <w:bottom w:val="nil"/>
              <w:right w:val="nil"/>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单位：亿元</w:t>
            </w:r>
          </w:p>
        </w:tc>
      </w:tr>
      <w:tr>
        <w:trPr>
          <w:gridAfter w:val="1"/>
          <w:wAfter w:w="222" w:type="dxa"/>
          <w:trHeight w:val="435" w:hRule="atLeast"/>
        </w:trPr>
        <w:tc>
          <w:tcPr>
            <w:tcW w:w="7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b/>
                <w:bCs/>
                <w:color w:val="000000"/>
                <w:sz w:val="21"/>
                <w:szCs w:val="21"/>
              </w:rPr>
            </w:pPr>
            <w:r>
              <w:rPr>
                <w:rFonts w:hint="eastAsia" w:eastAsia="宋体"/>
                <w:b/>
                <w:bCs/>
                <w:color w:val="000000"/>
                <w:sz w:val="21"/>
                <w:szCs w:val="21"/>
              </w:rPr>
              <w:t>序号</w:t>
            </w:r>
          </w:p>
        </w:tc>
        <w:tc>
          <w:tcPr>
            <w:tcW w:w="25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b/>
                <w:bCs/>
                <w:color w:val="000000"/>
                <w:sz w:val="21"/>
                <w:szCs w:val="21"/>
              </w:rPr>
            </w:pPr>
            <w:r>
              <w:rPr>
                <w:rFonts w:hint="eastAsia" w:eastAsia="宋体"/>
                <w:b/>
                <w:bCs/>
                <w:color w:val="000000"/>
                <w:sz w:val="21"/>
                <w:szCs w:val="21"/>
              </w:rPr>
              <w:t>项目名称</w:t>
            </w:r>
          </w:p>
        </w:tc>
        <w:tc>
          <w:tcPr>
            <w:tcW w:w="107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建设性质</w:t>
            </w:r>
          </w:p>
        </w:tc>
        <w:tc>
          <w:tcPr>
            <w:tcW w:w="119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建设地点</w:t>
            </w:r>
          </w:p>
        </w:tc>
        <w:tc>
          <w:tcPr>
            <w:tcW w:w="408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建设规模与主要建设内容</w:t>
            </w:r>
          </w:p>
        </w:tc>
        <w:tc>
          <w:tcPr>
            <w:tcW w:w="1591"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spacing w:line="0" w:lineRule="atLeast"/>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总投资</w:t>
            </w:r>
          </w:p>
        </w:tc>
        <w:tc>
          <w:tcPr>
            <w:tcW w:w="15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2021-2025年</w:t>
            </w:r>
            <w:r>
              <w:rPr>
                <w:rFonts w:hint="eastAsia" w:eastAsia="宋体"/>
                <w:b/>
                <w:bCs/>
                <w:color w:val="000000" w:themeColor="text1"/>
                <w:sz w:val="21"/>
                <w:szCs w:val="21"/>
                <w14:textFill>
                  <w14:solidFill>
                    <w14:schemeClr w14:val="tx1"/>
                  </w14:solidFill>
                </w14:textFill>
              </w:rPr>
              <w:br w:type="textWrapping"/>
            </w:r>
            <w:r>
              <w:rPr>
                <w:rFonts w:hint="eastAsia" w:eastAsia="宋体"/>
                <w:b/>
                <w:bCs/>
                <w:color w:val="000000" w:themeColor="text1"/>
                <w:sz w:val="21"/>
                <w:szCs w:val="21"/>
                <w14:textFill>
                  <w14:solidFill>
                    <w14:schemeClr w14:val="tx1"/>
                  </w14:solidFill>
                </w14:textFill>
              </w:rPr>
              <w:t>计划投资</w:t>
            </w:r>
          </w:p>
        </w:tc>
        <w:tc>
          <w:tcPr>
            <w:tcW w:w="1525"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spacing w:line="0" w:lineRule="atLeast"/>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责任单位</w:t>
            </w:r>
          </w:p>
        </w:tc>
      </w:tr>
      <w:tr>
        <w:tblPrEx>
          <w:tblCellMar>
            <w:top w:w="0" w:type="dxa"/>
            <w:left w:w="108" w:type="dxa"/>
            <w:bottom w:w="0" w:type="dxa"/>
            <w:right w:w="108" w:type="dxa"/>
          </w:tblCellMar>
        </w:tblPrEx>
        <w:trPr>
          <w:trHeight w:val="12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left"/>
              <w:rPr>
                <w:rFonts w:eastAsia="宋体"/>
                <w:b/>
                <w:bCs/>
                <w:color w:val="000000"/>
                <w:sz w:val="21"/>
                <w:szCs w:val="21"/>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left"/>
              <w:rPr>
                <w:rFonts w:eastAsia="宋体"/>
                <w:b/>
                <w:bCs/>
                <w:color w:val="000000"/>
                <w:sz w:val="21"/>
                <w:szCs w:val="21"/>
              </w:rPr>
            </w:pP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left"/>
              <w:rPr>
                <w:rFonts w:eastAsia="宋体"/>
                <w:b/>
                <w:bCs/>
                <w:color w:val="000000" w:themeColor="text1"/>
                <w:sz w:val="21"/>
                <w:szCs w:val="21"/>
                <w14:textFill>
                  <w14:solidFill>
                    <w14:schemeClr w14:val="tx1"/>
                  </w14:solidFill>
                </w14:textFill>
              </w:rPr>
            </w:pPr>
          </w:p>
        </w:tc>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left"/>
              <w:rPr>
                <w:rFonts w:eastAsia="宋体"/>
                <w:b/>
                <w:bCs/>
                <w:color w:val="000000" w:themeColor="text1"/>
                <w:sz w:val="21"/>
                <w:szCs w:val="21"/>
                <w14:textFill>
                  <w14:solidFill>
                    <w14:schemeClr w14:val="tx1"/>
                  </w14:solidFill>
                </w14:textFill>
              </w:rPr>
            </w:pPr>
          </w:p>
        </w:tc>
        <w:tc>
          <w:tcPr>
            <w:tcW w:w="4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left"/>
              <w:rPr>
                <w:rFonts w:eastAsia="宋体"/>
                <w:b/>
                <w:bCs/>
                <w:color w:val="000000" w:themeColor="text1"/>
                <w:sz w:val="21"/>
                <w:szCs w:val="21"/>
                <w14:textFill>
                  <w14:solidFill>
                    <w14:schemeClr w14:val="tx1"/>
                  </w14:solidFill>
                </w14:textFill>
              </w:rPr>
            </w:pPr>
          </w:p>
        </w:tc>
        <w:tc>
          <w:tcPr>
            <w:tcW w:w="159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0" w:lineRule="atLeast"/>
              <w:ind w:firstLine="0" w:firstLineChars="0"/>
              <w:jc w:val="left"/>
              <w:rPr>
                <w:rFonts w:eastAsia="宋体"/>
                <w:b/>
                <w:bCs/>
                <w:color w:val="000000" w:themeColor="text1"/>
                <w:sz w:val="21"/>
                <w:szCs w:val="21"/>
                <w14:textFill>
                  <w14:solidFill>
                    <w14:schemeClr w14:val="tx1"/>
                  </w14:solidFill>
                </w14:textFill>
              </w:rPr>
            </w:pPr>
          </w:p>
        </w:tc>
        <w:tc>
          <w:tcPr>
            <w:tcW w:w="15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left"/>
              <w:rPr>
                <w:rFonts w:eastAsia="宋体"/>
                <w:b/>
                <w:bCs/>
                <w:color w:val="000000" w:themeColor="text1"/>
                <w:sz w:val="21"/>
                <w:szCs w:val="21"/>
                <w14:textFill>
                  <w14:solidFill>
                    <w14:schemeClr w14:val="tx1"/>
                  </w14:solidFill>
                </w14:textFill>
              </w:rPr>
            </w:pPr>
          </w:p>
        </w:tc>
        <w:tc>
          <w:tcPr>
            <w:tcW w:w="152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0" w:lineRule="atLeast"/>
              <w:ind w:firstLine="0" w:firstLineChars="0"/>
              <w:jc w:val="left"/>
              <w:rPr>
                <w:rFonts w:eastAsia="宋体"/>
                <w:b/>
                <w:bCs/>
                <w:color w:val="000000" w:themeColor="text1"/>
                <w:sz w:val="21"/>
                <w:szCs w:val="21"/>
                <w14:textFill>
                  <w14:solidFill>
                    <w14:schemeClr w14:val="tx1"/>
                  </w14:solidFill>
                </w14:textFill>
              </w:rPr>
            </w:pPr>
          </w:p>
        </w:tc>
        <w:tc>
          <w:tcPr>
            <w:tcW w:w="222" w:type="dxa"/>
            <w:tcBorders>
              <w:top w:val="nil"/>
              <w:left w:val="nil"/>
              <w:bottom w:val="nil"/>
              <w:right w:val="nil"/>
            </w:tcBorders>
            <w:shd w:val="clear" w:color="auto" w:fill="auto"/>
            <w:noWrap/>
            <w:vAlign w:val="center"/>
          </w:tcPr>
          <w:p>
            <w:pPr>
              <w:widowControl/>
              <w:spacing w:line="0" w:lineRule="atLeast"/>
              <w:ind w:firstLine="0" w:firstLineChars="0"/>
              <w:jc w:val="center"/>
              <w:rPr>
                <w:rFonts w:eastAsia="宋体"/>
                <w:b/>
                <w:bCs/>
                <w:color w:val="000000"/>
                <w:sz w:val="21"/>
                <w:szCs w:val="21"/>
              </w:rPr>
            </w:pPr>
          </w:p>
        </w:tc>
      </w:tr>
      <w:tr>
        <w:tblPrEx>
          <w:tblCellMar>
            <w:top w:w="0" w:type="dxa"/>
            <w:left w:w="108" w:type="dxa"/>
            <w:bottom w:w="0" w:type="dxa"/>
            <w:right w:w="108" w:type="dxa"/>
          </w:tblCellMar>
        </w:tblPrEx>
        <w:trPr>
          <w:trHeight w:val="763" w:hRule="atLeast"/>
        </w:trPr>
        <w:tc>
          <w:tcPr>
            <w:tcW w:w="705" w:type="dxa"/>
            <w:tcBorders>
              <w:top w:val="nil"/>
              <w:left w:val="single" w:color="auto" w:sz="4" w:space="0"/>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1</w:t>
            </w:r>
          </w:p>
        </w:tc>
        <w:tc>
          <w:tcPr>
            <w:tcW w:w="2567"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color w:val="000000"/>
                <w:sz w:val="21"/>
                <w:szCs w:val="21"/>
              </w:rPr>
            </w:pPr>
            <w:r>
              <w:rPr>
                <w:rFonts w:hint="eastAsia" w:eastAsia="宋体"/>
                <w:color w:val="000000"/>
                <w:sz w:val="21"/>
                <w:szCs w:val="21"/>
              </w:rPr>
              <w:t>奉化滨海学校项目</w:t>
            </w:r>
          </w:p>
        </w:tc>
        <w:tc>
          <w:tcPr>
            <w:tcW w:w="107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新开工</w:t>
            </w:r>
          </w:p>
        </w:tc>
        <w:tc>
          <w:tcPr>
            <w:tcW w:w="1190"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滨海旅游休闲区</w:t>
            </w:r>
          </w:p>
        </w:tc>
        <w:tc>
          <w:tcPr>
            <w:tcW w:w="4084"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总用地面积约97亩，总建筑面积约6万平方米，45个教学班，九年一贯制学校。</w:t>
            </w:r>
          </w:p>
        </w:tc>
        <w:tc>
          <w:tcPr>
            <w:tcW w:w="1591"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4.0 </w:t>
            </w:r>
          </w:p>
        </w:tc>
        <w:tc>
          <w:tcPr>
            <w:tcW w:w="1579"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4.0 </w:t>
            </w:r>
          </w:p>
        </w:tc>
        <w:tc>
          <w:tcPr>
            <w:tcW w:w="152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滨海旅游区管委会</w:t>
            </w:r>
          </w:p>
        </w:tc>
        <w:tc>
          <w:tcPr>
            <w:tcW w:w="222" w:type="dxa"/>
            <w:vAlign w:val="center"/>
          </w:tcPr>
          <w:p>
            <w:pPr>
              <w:widowControl/>
              <w:spacing w:line="0" w:lineRule="atLeast"/>
              <w:ind w:firstLine="0" w:firstLineChars="0"/>
              <w:jc w:val="left"/>
              <w:rPr>
                <w:rFonts w:eastAsia="Times New Roman" w:cs="Times New Roman"/>
                <w:sz w:val="21"/>
                <w:szCs w:val="21"/>
              </w:rPr>
            </w:pPr>
          </w:p>
        </w:tc>
      </w:tr>
      <w:tr>
        <w:trPr>
          <w:trHeight w:val="560" w:hRule="atLeast"/>
        </w:trPr>
        <w:tc>
          <w:tcPr>
            <w:tcW w:w="705"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0" w:lineRule="atLeast"/>
              <w:ind w:firstLine="0" w:firstLineChars="0"/>
              <w:jc w:val="center"/>
              <w:rPr>
                <w:rFonts w:eastAsia="宋体"/>
                <w:sz w:val="21"/>
                <w:szCs w:val="21"/>
              </w:rPr>
            </w:pPr>
            <w:r>
              <w:rPr>
                <w:rFonts w:hint="eastAsia" w:eastAsia="宋体"/>
                <w:sz w:val="21"/>
                <w:szCs w:val="21"/>
              </w:rPr>
              <w:t>2</w:t>
            </w:r>
          </w:p>
        </w:tc>
        <w:tc>
          <w:tcPr>
            <w:tcW w:w="2567"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sz w:val="21"/>
                <w:szCs w:val="21"/>
              </w:rPr>
            </w:pPr>
            <w:r>
              <w:rPr>
                <w:rFonts w:hint="eastAsia" w:eastAsia="宋体"/>
                <w:sz w:val="21"/>
                <w:szCs w:val="21"/>
              </w:rPr>
              <w:t>上海师大宁波附属实验学校项目</w:t>
            </w:r>
          </w:p>
        </w:tc>
        <w:tc>
          <w:tcPr>
            <w:tcW w:w="107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续建</w:t>
            </w:r>
          </w:p>
        </w:tc>
        <w:tc>
          <w:tcPr>
            <w:tcW w:w="1190"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方桥街道</w:t>
            </w:r>
          </w:p>
        </w:tc>
        <w:tc>
          <w:tcPr>
            <w:tcW w:w="4084"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总用地面积90亩，总建筑面积4.1万平方米</w:t>
            </w:r>
          </w:p>
        </w:tc>
        <w:tc>
          <w:tcPr>
            <w:tcW w:w="1591"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3.9 </w:t>
            </w:r>
          </w:p>
        </w:tc>
        <w:tc>
          <w:tcPr>
            <w:tcW w:w="1579"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1.5 </w:t>
            </w:r>
          </w:p>
        </w:tc>
        <w:tc>
          <w:tcPr>
            <w:tcW w:w="152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宁南管委会</w:t>
            </w:r>
          </w:p>
        </w:tc>
        <w:tc>
          <w:tcPr>
            <w:tcW w:w="222" w:type="dxa"/>
            <w:vAlign w:val="center"/>
          </w:tcPr>
          <w:p>
            <w:pPr>
              <w:widowControl/>
              <w:spacing w:line="0" w:lineRule="atLeast"/>
              <w:ind w:firstLine="0" w:firstLineChars="0"/>
              <w:jc w:val="left"/>
              <w:rPr>
                <w:rFonts w:eastAsia="Times New Roman" w:cs="Times New Roman"/>
                <w:sz w:val="21"/>
                <w:szCs w:val="21"/>
              </w:rPr>
            </w:pPr>
          </w:p>
        </w:tc>
      </w:tr>
      <w:tr>
        <w:trPr>
          <w:trHeight w:val="900" w:hRule="atLeast"/>
        </w:trPr>
        <w:tc>
          <w:tcPr>
            <w:tcW w:w="705" w:type="dxa"/>
            <w:tcBorders>
              <w:top w:val="nil"/>
              <w:left w:val="single" w:color="auto" w:sz="4" w:space="0"/>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sz w:val="21"/>
                <w:szCs w:val="21"/>
              </w:rPr>
            </w:pPr>
            <w:r>
              <w:rPr>
                <w:rFonts w:hint="eastAsia" w:eastAsia="宋体"/>
                <w:sz w:val="21"/>
                <w:szCs w:val="21"/>
              </w:rPr>
              <w:t>3</w:t>
            </w:r>
          </w:p>
        </w:tc>
        <w:tc>
          <w:tcPr>
            <w:tcW w:w="2567"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sz w:val="21"/>
                <w:szCs w:val="21"/>
              </w:rPr>
            </w:pPr>
            <w:r>
              <w:rPr>
                <w:rFonts w:hint="eastAsia" w:eastAsia="宋体"/>
                <w:sz w:val="21"/>
                <w:szCs w:val="21"/>
              </w:rPr>
              <w:t>溪口镇湖山区块教育产业区项目(溪口中心小学迁建）</w:t>
            </w:r>
          </w:p>
        </w:tc>
        <w:tc>
          <w:tcPr>
            <w:tcW w:w="107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续建</w:t>
            </w:r>
          </w:p>
        </w:tc>
        <w:tc>
          <w:tcPr>
            <w:tcW w:w="1190"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溪口镇</w:t>
            </w:r>
          </w:p>
        </w:tc>
        <w:tc>
          <w:tcPr>
            <w:tcW w:w="4084"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总建筑面积35018平方米，建设教学用房、办公用房、生活服务用房及室外配套工程等</w:t>
            </w:r>
          </w:p>
        </w:tc>
        <w:tc>
          <w:tcPr>
            <w:tcW w:w="1591"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2.2 </w:t>
            </w:r>
          </w:p>
        </w:tc>
        <w:tc>
          <w:tcPr>
            <w:tcW w:w="1579"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2.0 </w:t>
            </w:r>
          </w:p>
        </w:tc>
        <w:tc>
          <w:tcPr>
            <w:tcW w:w="152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溪口镇</w:t>
            </w:r>
          </w:p>
        </w:tc>
        <w:tc>
          <w:tcPr>
            <w:tcW w:w="222" w:type="dxa"/>
            <w:vAlign w:val="center"/>
          </w:tcPr>
          <w:p>
            <w:pPr>
              <w:widowControl/>
              <w:spacing w:line="0" w:lineRule="atLeast"/>
              <w:ind w:firstLine="0" w:firstLineChars="0"/>
              <w:jc w:val="left"/>
              <w:rPr>
                <w:rFonts w:eastAsia="Times New Roman" w:cs="Times New Roman"/>
                <w:sz w:val="21"/>
                <w:szCs w:val="21"/>
              </w:rPr>
            </w:pPr>
          </w:p>
        </w:tc>
      </w:tr>
      <w:tr>
        <w:tblPrEx>
          <w:tblCellMar>
            <w:top w:w="0" w:type="dxa"/>
            <w:left w:w="108" w:type="dxa"/>
            <w:bottom w:w="0" w:type="dxa"/>
            <w:right w:w="108" w:type="dxa"/>
          </w:tblCellMar>
        </w:tblPrEx>
        <w:trPr>
          <w:trHeight w:val="643" w:hRule="atLeast"/>
        </w:trPr>
        <w:tc>
          <w:tcPr>
            <w:tcW w:w="705" w:type="dxa"/>
            <w:tcBorders>
              <w:top w:val="nil"/>
              <w:left w:val="single" w:color="auto" w:sz="4" w:space="0"/>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4</w:t>
            </w:r>
          </w:p>
        </w:tc>
        <w:tc>
          <w:tcPr>
            <w:tcW w:w="2567"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color w:val="000000"/>
                <w:sz w:val="21"/>
                <w:szCs w:val="21"/>
              </w:rPr>
            </w:pPr>
            <w:r>
              <w:rPr>
                <w:rFonts w:hint="eastAsia" w:eastAsia="宋体"/>
                <w:color w:val="000000"/>
                <w:sz w:val="21"/>
                <w:szCs w:val="21"/>
              </w:rPr>
              <w:t>锦屏中学迁建工程</w:t>
            </w:r>
          </w:p>
        </w:tc>
        <w:tc>
          <w:tcPr>
            <w:tcW w:w="107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续建</w:t>
            </w:r>
          </w:p>
        </w:tc>
        <w:tc>
          <w:tcPr>
            <w:tcW w:w="1190"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锦屏街道</w:t>
            </w:r>
          </w:p>
        </w:tc>
        <w:tc>
          <w:tcPr>
            <w:tcW w:w="4084"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用地面积65亩，总建筑面积约3.5万平方米，设计规模48个教学班</w:t>
            </w:r>
          </w:p>
        </w:tc>
        <w:tc>
          <w:tcPr>
            <w:tcW w:w="1591"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2.0 </w:t>
            </w:r>
          </w:p>
        </w:tc>
        <w:tc>
          <w:tcPr>
            <w:tcW w:w="1579"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1.6 </w:t>
            </w:r>
          </w:p>
        </w:tc>
        <w:tc>
          <w:tcPr>
            <w:tcW w:w="152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教育局</w:t>
            </w:r>
            <w:r>
              <w:rPr>
                <w:rFonts w:hint="eastAsia" w:eastAsia="宋体"/>
                <w:color w:val="000000" w:themeColor="text1"/>
                <w:sz w:val="21"/>
                <w:szCs w:val="21"/>
                <w14:textFill>
                  <w14:solidFill>
                    <w14:schemeClr w14:val="tx1"/>
                  </w14:solidFill>
                </w14:textFill>
              </w:rPr>
              <w:br w:type="textWrapping"/>
            </w:r>
            <w:r>
              <w:rPr>
                <w:rFonts w:hint="eastAsia" w:eastAsia="宋体"/>
                <w:color w:val="000000" w:themeColor="text1"/>
                <w:sz w:val="21"/>
                <w:szCs w:val="21"/>
                <w14:textFill>
                  <w14:solidFill>
                    <w14:schemeClr w14:val="tx1"/>
                  </w14:solidFill>
                </w14:textFill>
              </w:rPr>
              <w:t>锦屏街道</w:t>
            </w:r>
          </w:p>
        </w:tc>
        <w:tc>
          <w:tcPr>
            <w:tcW w:w="222" w:type="dxa"/>
            <w:vAlign w:val="center"/>
          </w:tcPr>
          <w:p>
            <w:pPr>
              <w:widowControl/>
              <w:spacing w:line="0" w:lineRule="atLeast"/>
              <w:ind w:firstLine="0" w:firstLineChars="0"/>
              <w:jc w:val="left"/>
              <w:rPr>
                <w:rFonts w:eastAsia="Times New Roman" w:cs="Times New Roman"/>
                <w:sz w:val="21"/>
                <w:szCs w:val="21"/>
              </w:rPr>
            </w:pPr>
          </w:p>
        </w:tc>
      </w:tr>
      <w:tr>
        <w:tblPrEx>
          <w:tblCellMar>
            <w:top w:w="0" w:type="dxa"/>
            <w:left w:w="108" w:type="dxa"/>
            <w:bottom w:w="0" w:type="dxa"/>
            <w:right w:w="108" w:type="dxa"/>
          </w:tblCellMar>
        </w:tblPrEx>
        <w:trPr>
          <w:trHeight w:val="883" w:hRule="atLeast"/>
        </w:trPr>
        <w:tc>
          <w:tcPr>
            <w:tcW w:w="705" w:type="dxa"/>
            <w:tcBorders>
              <w:top w:val="nil"/>
              <w:left w:val="single" w:color="auto" w:sz="4" w:space="0"/>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5</w:t>
            </w:r>
          </w:p>
        </w:tc>
        <w:tc>
          <w:tcPr>
            <w:tcW w:w="2567"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color w:val="000000"/>
                <w:sz w:val="21"/>
                <w:szCs w:val="21"/>
              </w:rPr>
            </w:pPr>
            <w:r>
              <w:rPr>
                <w:rFonts w:hint="eastAsia" w:eastAsia="宋体"/>
                <w:color w:val="000000"/>
                <w:sz w:val="21"/>
                <w:szCs w:val="21"/>
              </w:rPr>
              <w:t>金海路南侧地块小学项目</w:t>
            </w:r>
          </w:p>
        </w:tc>
        <w:tc>
          <w:tcPr>
            <w:tcW w:w="107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新开工</w:t>
            </w:r>
          </w:p>
        </w:tc>
        <w:tc>
          <w:tcPr>
            <w:tcW w:w="1190"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岳林街道</w:t>
            </w:r>
          </w:p>
        </w:tc>
        <w:tc>
          <w:tcPr>
            <w:tcW w:w="4084"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用地面积约65.5亩，总建筑面积3.8万平方米，其中地上建筑面积约2.8万平方米，半地下室面积约1万平方米，设计规模48个教学班</w:t>
            </w:r>
          </w:p>
        </w:tc>
        <w:tc>
          <w:tcPr>
            <w:tcW w:w="1591"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2.2 </w:t>
            </w:r>
          </w:p>
        </w:tc>
        <w:tc>
          <w:tcPr>
            <w:tcW w:w="1579"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2.2 </w:t>
            </w:r>
          </w:p>
        </w:tc>
        <w:tc>
          <w:tcPr>
            <w:tcW w:w="152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教育局</w:t>
            </w:r>
            <w:r>
              <w:rPr>
                <w:rFonts w:hint="eastAsia" w:eastAsia="宋体"/>
                <w:color w:val="000000" w:themeColor="text1"/>
                <w:sz w:val="21"/>
                <w:szCs w:val="21"/>
                <w14:textFill>
                  <w14:solidFill>
                    <w14:schemeClr w14:val="tx1"/>
                  </w14:solidFill>
                </w14:textFill>
              </w:rPr>
              <w:br w:type="textWrapping"/>
            </w:r>
            <w:r>
              <w:rPr>
                <w:rFonts w:hint="eastAsia" w:eastAsia="宋体"/>
                <w:color w:val="000000" w:themeColor="text1"/>
                <w:sz w:val="21"/>
                <w:szCs w:val="21"/>
                <w14:textFill>
                  <w14:solidFill>
                    <w14:schemeClr w14:val="tx1"/>
                  </w14:solidFill>
                </w14:textFill>
              </w:rPr>
              <w:t>岳林街道</w:t>
            </w:r>
          </w:p>
        </w:tc>
        <w:tc>
          <w:tcPr>
            <w:tcW w:w="222" w:type="dxa"/>
            <w:vAlign w:val="center"/>
          </w:tcPr>
          <w:p>
            <w:pPr>
              <w:widowControl/>
              <w:spacing w:line="0" w:lineRule="atLeast"/>
              <w:ind w:firstLine="0" w:firstLineChars="0"/>
              <w:jc w:val="left"/>
              <w:rPr>
                <w:rFonts w:eastAsia="Times New Roman" w:cs="Times New Roman"/>
                <w:sz w:val="21"/>
                <w:szCs w:val="21"/>
              </w:rPr>
            </w:pPr>
          </w:p>
        </w:tc>
      </w:tr>
      <w:tr>
        <w:tblPrEx>
          <w:tblCellMar>
            <w:top w:w="0" w:type="dxa"/>
            <w:left w:w="108" w:type="dxa"/>
            <w:bottom w:w="0" w:type="dxa"/>
            <w:right w:w="108" w:type="dxa"/>
          </w:tblCellMar>
        </w:tblPrEx>
        <w:trPr>
          <w:trHeight w:val="620" w:hRule="atLeast"/>
        </w:trPr>
        <w:tc>
          <w:tcPr>
            <w:tcW w:w="705" w:type="dxa"/>
            <w:tcBorders>
              <w:top w:val="nil"/>
              <w:left w:val="single" w:color="auto" w:sz="4" w:space="0"/>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6</w:t>
            </w:r>
          </w:p>
        </w:tc>
        <w:tc>
          <w:tcPr>
            <w:tcW w:w="2567"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color w:val="000000"/>
                <w:sz w:val="21"/>
                <w:szCs w:val="21"/>
              </w:rPr>
            </w:pPr>
            <w:r>
              <w:rPr>
                <w:rFonts w:hint="eastAsia" w:eastAsia="宋体"/>
                <w:color w:val="000000"/>
                <w:sz w:val="21"/>
                <w:szCs w:val="21"/>
              </w:rPr>
              <w:t>江口中学迁建工程</w:t>
            </w:r>
          </w:p>
        </w:tc>
        <w:tc>
          <w:tcPr>
            <w:tcW w:w="107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新开工</w:t>
            </w:r>
          </w:p>
        </w:tc>
        <w:tc>
          <w:tcPr>
            <w:tcW w:w="1190"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江口街道</w:t>
            </w:r>
          </w:p>
        </w:tc>
        <w:tc>
          <w:tcPr>
            <w:tcW w:w="4084"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用地面积约90亩，建设30班高中</w:t>
            </w:r>
          </w:p>
        </w:tc>
        <w:tc>
          <w:tcPr>
            <w:tcW w:w="1591"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4.8 </w:t>
            </w:r>
          </w:p>
        </w:tc>
        <w:tc>
          <w:tcPr>
            <w:tcW w:w="1579"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4.8 </w:t>
            </w:r>
          </w:p>
        </w:tc>
        <w:tc>
          <w:tcPr>
            <w:tcW w:w="152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教育局</w:t>
            </w:r>
          </w:p>
        </w:tc>
        <w:tc>
          <w:tcPr>
            <w:tcW w:w="222" w:type="dxa"/>
            <w:vAlign w:val="center"/>
          </w:tcPr>
          <w:p>
            <w:pPr>
              <w:widowControl/>
              <w:spacing w:line="0" w:lineRule="atLeast"/>
              <w:ind w:firstLine="0" w:firstLineChars="0"/>
              <w:jc w:val="left"/>
              <w:rPr>
                <w:rFonts w:eastAsia="Times New Roman" w:cs="Times New Roman"/>
                <w:sz w:val="21"/>
                <w:szCs w:val="21"/>
              </w:rPr>
            </w:pPr>
          </w:p>
        </w:tc>
      </w:tr>
      <w:tr>
        <w:tblPrEx>
          <w:tblCellMar>
            <w:top w:w="0" w:type="dxa"/>
            <w:left w:w="108" w:type="dxa"/>
            <w:bottom w:w="0" w:type="dxa"/>
            <w:right w:w="108" w:type="dxa"/>
          </w:tblCellMar>
        </w:tblPrEx>
        <w:trPr>
          <w:trHeight w:val="690" w:hRule="atLeast"/>
        </w:trPr>
        <w:tc>
          <w:tcPr>
            <w:tcW w:w="705" w:type="dxa"/>
            <w:tcBorders>
              <w:top w:val="nil"/>
              <w:left w:val="single" w:color="auto" w:sz="4" w:space="0"/>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7</w:t>
            </w:r>
          </w:p>
        </w:tc>
        <w:tc>
          <w:tcPr>
            <w:tcW w:w="2567"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color w:val="000000"/>
                <w:sz w:val="21"/>
                <w:szCs w:val="21"/>
              </w:rPr>
            </w:pPr>
            <w:r>
              <w:rPr>
                <w:rFonts w:hint="eastAsia" w:eastAsia="宋体"/>
                <w:color w:val="000000"/>
                <w:sz w:val="21"/>
                <w:szCs w:val="21"/>
              </w:rPr>
              <w:t>岳林北部规划初中项目</w:t>
            </w:r>
          </w:p>
        </w:tc>
        <w:tc>
          <w:tcPr>
            <w:tcW w:w="107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新开工</w:t>
            </w:r>
          </w:p>
        </w:tc>
        <w:tc>
          <w:tcPr>
            <w:tcW w:w="1190"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岳林街道</w:t>
            </w:r>
          </w:p>
        </w:tc>
        <w:tc>
          <w:tcPr>
            <w:tcW w:w="4084"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color w:val="000000"/>
                <w:sz w:val="21"/>
                <w:szCs w:val="21"/>
              </w:rPr>
            </w:pPr>
            <w:r>
              <w:rPr>
                <w:rFonts w:hint="eastAsia" w:eastAsia="宋体"/>
                <w:color w:val="000000"/>
                <w:sz w:val="21"/>
                <w:szCs w:val="21"/>
              </w:rPr>
              <w:t>用地面积68亩，建筑面积约3.5万平方米，设计规模45教学班</w:t>
            </w:r>
          </w:p>
        </w:tc>
        <w:tc>
          <w:tcPr>
            <w:tcW w:w="1591"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 xml:space="preserve">3.0 </w:t>
            </w:r>
          </w:p>
        </w:tc>
        <w:tc>
          <w:tcPr>
            <w:tcW w:w="1579"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 xml:space="preserve">3.0 </w:t>
            </w:r>
          </w:p>
        </w:tc>
        <w:tc>
          <w:tcPr>
            <w:tcW w:w="152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教育局</w:t>
            </w:r>
          </w:p>
        </w:tc>
        <w:tc>
          <w:tcPr>
            <w:tcW w:w="222" w:type="dxa"/>
            <w:vAlign w:val="center"/>
          </w:tcPr>
          <w:p>
            <w:pPr>
              <w:widowControl/>
              <w:spacing w:line="0" w:lineRule="atLeast"/>
              <w:ind w:firstLine="0" w:firstLineChars="0"/>
              <w:jc w:val="left"/>
              <w:rPr>
                <w:rFonts w:eastAsia="Times New Roman" w:cs="Times New Roman"/>
                <w:sz w:val="21"/>
                <w:szCs w:val="21"/>
              </w:rPr>
            </w:pPr>
          </w:p>
        </w:tc>
      </w:tr>
      <w:tr>
        <w:tblPrEx>
          <w:tblCellMar>
            <w:top w:w="0" w:type="dxa"/>
            <w:left w:w="108" w:type="dxa"/>
            <w:bottom w:w="0" w:type="dxa"/>
            <w:right w:w="108" w:type="dxa"/>
          </w:tblCellMar>
        </w:tblPrEx>
        <w:trPr>
          <w:trHeight w:val="660" w:hRule="atLeast"/>
        </w:trPr>
        <w:tc>
          <w:tcPr>
            <w:tcW w:w="705" w:type="dxa"/>
            <w:tcBorders>
              <w:top w:val="nil"/>
              <w:left w:val="single" w:color="auto" w:sz="4" w:space="0"/>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8</w:t>
            </w:r>
          </w:p>
        </w:tc>
        <w:tc>
          <w:tcPr>
            <w:tcW w:w="2567"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color w:val="000000"/>
                <w:sz w:val="21"/>
                <w:szCs w:val="21"/>
              </w:rPr>
            </w:pPr>
            <w:r>
              <w:rPr>
                <w:rFonts w:hint="eastAsia" w:eastAsia="宋体"/>
                <w:color w:val="000000"/>
                <w:sz w:val="21"/>
                <w:szCs w:val="21"/>
              </w:rPr>
              <w:t>仁湖路南侧规划小学项目</w:t>
            </w:r>
          </w:p>
        </w:tc>
        <w:tc>
          <w:tcPr>
            <w:tcW w:w="107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新开工</w:t>
            </w:r>
          </w:p>
        </w:tc>
        <w:tc>
          <w:tcPr>
            <w:tcW w:w="1190"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锦屏街道</w:t>
            </w:r>
          </w:p>
        </w:tc>
        <w:tc>
          <w:tcPr>
            <w:tcW w:w="4084"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left"/>
              <w:rPr>
                <w:rFonts w:eastAsia="宋体"/>
                <w:color w:val="000000"/>
                <w:sz w:val="21"/>
                <w:szCs w:val="21"/>
              </w:rPr>
            </w:pPr>
            <w:r>
              <w:rPr>
                <w:rFonts w:hint="eastAsia" w:eastAsia="宋体"/>
                <w:color w:val="000000"/>
                <w:sz w:val="21"/>
                <w:szCs w:val="21"/>
              </w:rPr>
              <w:t>用地面积47亩，设计规模42教学班</w:t>
            </w:r>
          </w:p>
        </w:tc>
        <w:tc>
          <w:tcPr>
            <w:tcW w:w="1591"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 xml:space="preserve">3.0 </w:t>
            </w:r>
          </w:p>
        </w:tc>
        <w:tc>
          <w:tcPr>
            <w:tcW w:w="1579"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 xml:space="preserve">3.0 </w:t>
            </w:r>
          </w:p>
        </w:tc>
        <w:tc>
          <w:tcPr>
            <w:tcW w:w="1525" w:type="dxa"/>
            <w:tcBorders>
              <w:top w:val="nil"/>
              <w:left w:val="nil"/>
              <w:bottom w:val="single" w:color="auto" w:sz="4" w:space="0"/>
              <w:right w:val="single" w:color="auto" w:sz="4" w:space="0"/>
            </w:tcBorders>
            <w:shd w:val="clear" w:color="000000" w:fill="FFFFFF"/>
            <w:vAlign w:val="center"/>
          </w:tcPr>
          <w:p>
            <w:pPr>
              <w:widowControl/>
              <w:spacing w:line="0" w:lineRule="atLeast"/>
              <w:ind w:firstLine="0" w:firstLineChars="0"/>
              <w:jc w:val="center"/>
              <w:rPr>
                <w:rFonts w:eastAsia="宋体"/>
                <w:color w:val="000000"/>
                <w:sz w:val="21"/>
                <w:szCs w:val="21"/>
              </w:rPr>
            </w:pPr>
            <w:r>
              <w:rPr>
                <w:rFonts w:hint="eastAsia" w:eastAsia="宋体"/>
                <w:color w:val="000000"/>
                <w:sz w:val="21"/>
                <w:szCs w:val="21"/>
              </w:rPr>
              <w:t>教育局</w:t>
            </w:r>
          </w:p>
        </w:tc>
        <w:tc>
          <w:tcPr>
            <w:tcW w:w="222" w:type="dxa"/>
            <w:vAlign w:val="center"/>
          </w:tcPr>
          <w:p>
            <w:pPr>
              <w:widowControl/>
              <w:spacing w:line="0" w:lineRule="atLeast"/>
              <w:ind w:firstLine="0" w:firstLineChars="0"/>
              <w:jc w:val="left"/>
              <w:rPr>
                <w:rFonts w:eastAsia="Times New Roman" w:cs="Times New Roman"/>
                <w:sz w:val="21"/>
                <w:szCs w:val="21"/>
              </w:rPr>
            </w:pPr>
          </w:p>
        </w:tc>
      </w:tr>
    </w:tbl>
    <w:p>
      <w:pPr>
        <w:pStyle w:val="2"/>
        <w:ind w:firstLine="400"/>
        <w:rPr>
          <w:rFonts w:eastAsia="宋体" w:cs="Times New Roman"/>
          <w:sz w:val="20"/>
          <w:szCs w:val="20"/>
        </w:rPr>
      </w:pPr>
    </w:p>
    <w:p>
      <w:pPr>
        <w:pStyle w:val="2"/>
      </w:pPr>
    </w:p>
    <w:tbl>
      <w:tblPr>
        <w:tblStyle w:val="23"/>
        <w:tblW w:w="13027" w:type="dxa"/>
        <w:tblInd w:w="0" w:type="dxa"/>
        <w:tblLayout w:type="autofit"/>
        <w:tblCellMar>
          <w:top w:w="0" w:type="dxa"/>
          <w:left w:w="108" w:type="dxa"/>
          <w:bottom w:w="0" w:type="dxa"/>
          <w:right w:w="108" w:type="dxa"/>
        </w:tblCellMar>
      </w:tblPr>
      <w:tblGrid>
        <w:gridCol w:w="697"/>
        <w:gridCol w:w="2500"/>
        <w:gridCol w:w="1126"/>
        <w:gridCol w:w="1246"/>
        <w:gridCol w:w="4183"/>
        <w:gridCol w:w="1666"/>
        <w:gridCol w:w="1598"/>
        <w:gridCol w:w="222"/>
      </w:tblGrid>
      <w:tr>
        <w:tblPrEx>
          <w:tblCellMar>
            <w:top w:w="0" w:type="dxa"/>
            <w:left w:w="108" w:type="dxa"/>
            <w:bottom w:w="0" w:type="dxa"/>
            <w:right w:w="108" w:type="dxa"/>
          </w:tblCellMar>
        </w:tblPrEx>
        <w:trPr>
          <w:gridAfter w:val="1"/>
          <w:wAfter w:w="11" w:type="dxa"/>
          <w:trHeight w:val="420" w:hRule="atLeast"/>
        </w:trPr>
        <w:tc>
          <w:tcPr>
            <w:tcW w:w="13016" w:type="dxa"/>
            <w:gridSpan w:val="7"/>
            <w:tcBorders>
              <w:top w:val="nil"/>
              <w:left w:val="nil"/>
              <w:bottom w:val="nil"/>
              <w:right w:val="nil"/>
            </w:tcBorders>
            <w:shd w:val="clear" w:color="auto" w:fill="auto"/>
            <w:noWrap/>
            <w:vAlign w:val="center"/>
          </w:tcPr>
          <w:p>
            <w:pPr>
              <w:ind w:firstLine="562"/>
              <w:jc w:val="center"/>
              <w:rPr>
                <w:rFonts w:eastAsia="方正小标宋简体"/>
                <w:color w:val="000000"/>
                <w:sz w:val="21"/>
                <w:szCs w:val="21"/>
              </w:rPr>
            </w:pPr>
            <w:r>
              <w:rPr>
                <w:rFonts w:hint="eastAsia"/>
                <w:b/>
                <w:sz w:val="28"/>
                <w:szCs w:val="28"/>
              </w:rPr>
              <w:t>规划项目汇总表（谋划类）</w:t>
            </w:r>
          </w:p>
        </w:tc>
      </w:tr>
      <w:tr>
        <w:tblPrEx>
          <w:tblCellMar>
            <w:top w:w="0" w:type="dxa"/>
            <w:left w:w="108" w:type="dxa"/>
            <w:bottom w:w="0" w:type="dxa"/>
            <w:right w:w="108" w:type="dxa"/>
          </w:tblCellMar>
        </w:tblPrEx>
        <w:trPr>
          <w:gridAfter w:val="1"/>
          <w:wAfter w:w="11" w:type="dxa"/>
          <w:trHeight w:val="300" w:hRule="atLeast"/>
        </w:trPr>
        <w:tc>
          <w:tcPr>
            <w:tcW w:w="11418" w:type="dxa"/>
            <w:gridSpan w:val="6"/>
            <w:tcBorders>
              <w:top w:val="nil"/>
              <w:left w:val="nil"/>
              <w:bottom w:val="nil"/>
              <w:right w:val="nil"/>
            </w:tcBorders>
            <w:shd w:val="clear" w:color="auto" w:fill="auto"/>
            <w:noWrap/>
            <w:vAlign w:val="center"/>
          </w:tcPr>
          <w:p>
            <w:pPr>
              <w:widowControl/>
              <w:spacing w:line="240" w:lineRule="auto"/>
              <w:ind w:firstLine="0" w:firstLineChars="0"/>
              <w:jc w:val="center"/>
              <w:rPr>
                <w:rFonts w:eastAsia="方正小标宋简体"/>
                <w:color w:val="000000"/>
                <w:sz w:val="21"/>
                <w:szCs w:val="21"/>
              </w:rPr>
            </w:pPr>
          </w:p>
        </w:tc>
        <w:tc>
          <w:tcPr>
            <w:tcW w:w="1598" w:type="dxa"/>
            <w:tcBorders>
              <w:top w:val="nil"/>
              <w:left w:val="nil"/>
              <w:bottom w:val="nil"/>
              <w:right w:val="nil"/>
            </w:tcBorders>
            <w:shd w:val="clear" w:color="auto" w:fill="auto"/>
            <w:vAlign w:val="center"/>
          </w:tcPr>
          <w:p>
            <w:pPr>
              <w:widowControl/>
              <w:spacing w:line="240" w:lineRule="auto"/>
              <w:ind w:firstLine="0" w:firstLineChars="0"/>
              <w:jc w:val="center"/>
              <w:rPr>
                <w:rFonts w:eastAsia="宋体"/>
                <w:color w:val="000000"/>
                <w:sz w:val="21"/>
                <w:szCs w:val="21"/>
              </w:rPr>
            </w:pPr>
            <w:r>
              <w:rPr>
                <w:rFonts w:hint="eastAsia" w:eastAsia="宋体"/>
                <w:color w:val="000000"/>
                <w:sz w:val="21"/>
                <w:szCs w:val="21"/>
              </w:rPr>
              <w:t>单位：亿元</w:t>
            </w:r>
          </w:p>
        </w:tc>
      </w:tr>
      <w:tr>
        <w:tblPrEx>
          <w:tblCellMar>
            <w:top w:w="0" w:type="dxa"/>
            <w:left w:w="108" w:type="dxa"/>
            <w:bottom w:w="0" w:type="dxa"/>
            <w:right w:w="108" w:type="dxa"/>
          </w:tblCellMar>
        </w:tblPrEx>
        <w:trPr>
          <w:gridAfter w:val="1"/>
          <w:wAfter w:w="11" w:type="dxa"/>
          <w:trHeight w:val="435" w:hRule="atLeast"/>
        </w:trPr>
        <w:tc>
          <w:tcPr>
            <w:tcW w:w="6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b/>
                <w:bCs/>
                <w:color w:val="000000"/>
                <w:sz w:val="21"/>
                <w:szCs w:val="21"/>
              </w:rPr>
            </w:pPr>
            <w:r>
              <w:rPr>
                <w:rFonts w:hint="eastAsia" w:eastAsia="宋体"/>
                <w:b/>
                <w:bCs/>
                <w:color w:val="000000"/>
                <w:sz w:val="21"/>
                <w:szCs w:val="21"/>
              </w:rPr>
              <w:t>序号</w:t>
            </w:r>
          </w:p>
        </w:tc>
        <w:tc>
          <w:tcPr>
            <w:tcW w:w="25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b/>
                <w:bCs/>
                <w:color w:val="000000"/>
                <w:sz w:val="21"/>
                <w:szCs w:val="21"/>
              </w:rPr>
            </w:pPr>
            <w:r>
              <w:rPr>
                <w:rFonts w:hint="eastAsia" w:eastAsia="宋体"/>
                <w:b/>
                <w:bCs/>
                <w:color w:val="000000"/>
                <w:sz w:val="21"/>
                <w:szCs w:val="21"/>
              </w:rPr>
              <w:t>项目名称</w:t>
            </w:r>
          </w:p>
        </w:tc>
        <w:tc>
          <w:tcPr>
            <w:tcW w:w="112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b/>
                <w:bCs/>
                <w:color w:val="000000"/>
                <w:sz w:val="21"/>
                <w:szCs w:val="21"/>
              </w:rPr>
            </w:pPr>
            <w:r>
              <w:rPr>
                <w:rFonts w:hint="eastAsia" w:eastAsia="宋体"/>
                <w:b/>
                <w:bCs/>
                <w:color w:val="000000"/>
                <w:sz w:val="21"/>
                <w:szCs w:val="21"/>
              </w:rPr>
              <w:t>建设性质</w:t>
            </w:r>
          </w:p>
        </w:tc>
        <w:tc>
          <w:tcPr>
            <w:tcW w:w="12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b/>
                <w:bCs/>
                <w:color w:val="000000"/>
                <w:sz w:val="21"/>
                <w:szCs w:val="21"/>
              </w:rPr>
            </w:pPr>
            <w:r>
              <w:rPr>
                <w:rFonts w:hint="eastAsia" w:eastAsia="宋体"/>
                <w:b/>
                <w:bCs/>
                <w:color w:val="000000"/>
                <w:sz w:val="21"/>
                <w:szCs w:val="21"/>
              </w:rPr>
              <w:t>建设地点</w:t>
            </w:r>
          </w:p>
        </w:tc>
        <w:tc>
          <w:tcPr>
            <w:tcW w:w="418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b/>
                <w:bCs/>
                <w:color w:val="000000"/>
                <w:sz w:val="21"/>
                <w:szCs w:val="21"/>
              </w:rPr>
            </w:pPr>
            <w:r>
              <w:rPr>
                <w:rFonts w:hint="eastAsia" w:eastAsia="宋体"/>
                <w:b/>
                <w:bCs/>
                <w:color w:val="000000"/>
                <w:sz w:val="21"/>
                <w:szCs w:val="21"/>
              </w:rPr>
              <w:t>建设规模与主要建设内容</w:t>
            </w:r>
          </w:p>
        </w:tc>
        <w:tc>
          <w:tcPr>
            <w:tcW w:w="1666"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eastAsia="宋体"/>
                <w:b/>
                <w:bCs/>
                <w:color w:val="000000"/>
                <w:sz w:val="21"/>
                <w:szCs w:val="21"/>
              </w:rPr>
            </w:pPr>
            <w:r>
              <w:rPr>
                <w:rFonts w:hint="eastAsia" w:eastAsia="宋体"/>
                <w:b/>
                <w:bCs/>
                <w:color w:val="000000"/>
                <w:sz w:val="21"/>
                <w:szCs w:val="21"/>
              </w:rPr>
              <w:t>总投资</w:t>
            </w:r>
          </w:p>
        </w:tc>
        <w:tc>
          <w:tcPr>
            <w:tcW w:w="1598"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eastAsia="宋体"/>
                <w:b/>
                <w:bCs/>
                <w:color w:val="000000"/>
                <w:sz w:val="21"/>
                <w:szCs w:val="21"/>
              </w:rPr>
            </w:pPr>
            <w:r>
              <w:rPr>
                <w:rFonts w:hint="eastAsia" w:eastAsia="宋体"/>
                <w:b/>
                <w:bCs/>
                <w:color w:val="000000"/>
                <w:sz w:val="21"/>
                <w:szCs w:val="21"/>
              </w:rPr>
              <w:t>责任单位</w:t>
            </w:r>
          </w:p>
        </w:tc>
      </w:tr>
      <w:tr>
        <w:tblPrEx>
          <w:tblCellMar>
            <w:top w:w="0" w:type="dxa"/>
            <w:left w:w="108" w:type="dxa"/>
            <w:bottom w:w="0" w:type="dxa"/>
            <w:right w:w="108" w:type="dxa"/>
          </w:tblCellMar>
        </w:tblPrEx>
        <w:trPr>
          <w:trHeight w:val="300" w:hRule="atLeast"/>
        </w:trPr>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b/>
                <w:bCs/>
                <w:color w:val="000000"/>
                <w:sz w:val="21"/>
                <w:szCs w:val="21"/>
              </w:rPr>
            </w:pPr>
          </w:p>
        </w:tc>
        <w:tc>
          <w:tcPr>
            <w:tcW w:w="2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b/>
                <w:bCs/>
                <w:color w:val="000000"/>
                <w:sz w:val="21"/>
                <w:szCs w:val="21"/>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b/>
                <w:bCs/>
                <w:color w:val="000000"/>
                <w:sz w:val="21"/>
                <w:szCs w:val="21"/>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b/>
                <w:bCs/>
                <w:color w:val="000000"/>
                <w:sz w:val="21"/>
                <w:szCs w:val="21"/>
              </w:rPr>
            </w:pPr>
          </w:p>
        </w:tc>
        <w:tc>
          <w:tcPr>
            <w:tcW w:w="41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b/>
                <w:bCs/>
                <w:color w:val="000000"/>
                <w:sz w:val="21"/>
                <w:szCs w:val="21"/>
              </w:rPr>
            </w:pPr>
          </w:p>
        </w:tc>
        <w:tc>
          <w:tcPr>
            <w:tcW w:w="166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b/>
                <w:bCs/>
                <w:color w:val="000000"/>
                <w:sz w:val="21"/>
                <w:szCs w:val="21"/>
              </w:rPr>
            </w:pPr>
          </w:p>
        </w:tc>
        <w:tc>
          <w:tcPr>
            <w:tcW w:w="159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b/>
                <w:bCs/>
                <w:color w:val="000000"/>
                <w:sz w:val="21"/>
                <w:szCs w:val="21"/>
              </w:rPr>
            </w:pPr>
          </w:p>
        </w:tc>
        <w:tc>
          <w:tcPr>
            <w:tcW w:w="11" w:type="dxa"/>
            <w:tcBorders>
              <w:top w:val="nil"/>
              <w:left w:val="nil"/>
              <w:bottom w:val="nil"/>
              <w:right w:val="nil"/>
            </w:tcBorders>
            <w:shd w:val="clear" w:color="auto" w:fill="auto"/>
            <w:noWrap/>
            <w:vAlign w:val="center"/>
          </w:tcPr>
          <w:p>
            <w:pPr>
              <w:widowControl/>
              <w:spacing w:line="240" w:lineRule="auto"/>
              <w:ind w:firstLine="0" w:firstLineChars="0"/>
              <w:jc w:val="center"/>
              <w:rPr>
                <w:rFonts w:eastAsia="宋体"/>
                <w:b/>
                <w:bCs/>
                <w:color w:val="000000"/>
                <w:sz w:val="21"/>
                <w:szCs w:val="21"/>
              </w:rPr>
            </w:pPr>
          </w:p>
        </w:tc>
      </w:tr>
      <w:tr>
        <w:tblPrEx>
          <w:tblCellMar>
            <w:top w:w="0" w:type="dxa"/>
            <w:left w:w="108" w:type="dxa"/>
            <w:bottom w:w="0" w:type="dxa"/>
            <w:right w:w="108" w:type="dxa"/>
          </w:tblCellMar>
        </w:tblPrEx>
        <w:trPr>
          <w:trHeight w:val="720" w:hRule="atLeast"/>
        </w:trPr>
        <w:tc>
          <w:tcPr>
            <w:tcW w:w="697"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sz w:val="21"/>
                <w:szCs w:val="21"/>
              </w:rPr>
            </w:pPr>
            <w:r>
              <w:rPr>
                <w:rFonts w:eastAsia="宋体"/>
                <w:sz w:val="21"/>
                <w:szCs w:val="21"/>
              </w:rPr>
              <w:t>1</w:t>
            </w:r>
          </w:p>
        </w:tc>
        <w:tc>
          <w:tcPr>
            <w:tcW w:w="25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sz w:val="21"/>
                <w:szCs w:val="21"/>
              </w:rPr>
            </w:pPr>
            <w:r>
              <w:rPr>
                <w:rFonts w:hint="eastAsia" w:eastAsia="宋体"/>
                <w:sz w:val="21"/>
                <w:szCs w:val="21"/>
              </w:rPr>
              <w:t>宁波生命科学城学校项目</w:t>
            </w:r>
          </w:p>
        </w:tc>
        <w:tc>
          <w:tcPr>
            <w:tcW w:w="112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谋划类</w:t>
            </w:r>
          </w:p>
        </w:tc>
        <w:tc>
          <w:tcPr>
            <w:tcW w:w="124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sz w:val="21"/>
                <w:szCs w:val="21"/>
              </w:rPr>
            </w:pPr>
            <w:r>
              <w:rPr>
                <w:rFonts w:hint="eastAsia" w:eastAsia="宋体"/>
                <w:sz w:val="21"/>
                <w:szCs w:val="21"/>
              </w:rPr>
              <w:t>方桥街道</w:t>
            </w:r>
          </w:p>
        </w:tc>
        <w:tc>
          <w:tcPr>
            <w:tcW w:w="418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用地面积约74.9亩，总建筑面积约5万平方米 </w:t>
            </w:r>
          </w:p>
        </w:tc>
        <w:tc>
          <w:tcPr>
            <w:tcW w:w="166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3.5 </w:t>
            </w:r>
          </w:p>
        </w:tc>
        <w:tc>
          <w:tcPr>
            <w:tcW w:w="159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宁南管委会</w:t>
            </w:r>
          </w:p>
        </w:tc>
        <w:tc>
          <w:tcPr>
            <w:tcW w:w="11" w:type="dxa"/>
            <w:vAlign w:val="center"/>
          </w:tcPr>
          <w:p>
            <w:pPr>
              <w:widowControl/>
              <w:spacing w:line="240" w:lineRule="auto"/>
              <w:ind w:firstLine="0" w:firstLineChars="0"/>
              <w:jc w:val="left"/>
              <w:rPr>
                <w:rFonts w:eastAsia="Times New Roman" w:cs="Times New Roman"/>
                <w:sz w:val="21"/>
                <w:szCs w:val="21"/>
              </w:rPr>
            </w:pPr>
          </w:p>
        </w:tc>
      </w:tr>
    </w:tbl>
    <w:p>
      <w:pPr>
        <w:pStyle w:val="2"/>
      </w:pPr>
      <w:r>
        <w:br w:type="page"/>
      </w:r>
    </w:p>
    <w:tbl>
      <w:tblPr>
        <w:tblStyle w:val="24"/>
        <w:tblW w:w="13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5440"/>
        <w:gridCol w:w="1629"/>
        <w:gridCol w:w="1569"/>
        <w:gridCol w:w="1409"/>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677" w:type="dxa"/>
            <w:gridSpan w:val="6"/>
            <w:tcBorders>
              <w:top w:val="nil"/>
              <w:left w:val="nil"/>
              <w:bottom w:val="single" w:color="auto" w:sz="4" w:space="0"/>
              <w:right w:val="nil"/>
            </w:tcBorders>
            <w:vAlign w:val="center"/>
          </w:tcPr>
          <w:p>
            <w:pPr>
              <w:ind w:firstLine="562"/>
              <w:jc w:val="center"/>
              <w:rPr>
                <w:b/>
                <w:sz w:val="24"/>
                <w:szCs w:val="24"/>
              </w:rPr>
            </w:pPr>
            <w:r>
              <w:rPr>
                <w:rFonts w:hint="eastAsia"/>
                <w:b/>
                <w:sz w:val="28"/>
                <w:szCs w:val="28"/>
              </w:rPr>
              <w:t>2021-2025年投入使用幼儿园信息表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序号</w:t>
            </w:r>
          </w:p>
        </w:tc>
        <w:tc>
          <w:tcPr>
            <w:tcW w:w="5440" w:type="dxa"/>
            <w:tcBorders>
              <w:top w:val="single" w:color="auto" w:sz="4" w:space="0"/>
              <w:right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项目名称</w:t>
            </w:r>
          </w:p>
        </w:tc>
        <w:tc>
          <w:tcPr>
            <w:tcW w:w="1629" w:type="dxa"/>
            <w:tcBorders>
              <w:top w:val="single" w:color="auto" w:sz="4" w:space="0"/>
              <w:left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幼儿园班数</w:t>
            </w:r>
          </w:p>
        </w:tc>
        <w:tc>
          <w:tcPr>
            <w:tcW w:w="1569" w:type="dxa"/>
            <w:tcBorders>
              <w:top w:val="single" w:color="auto" w:sz="4" w:space="0"/>
              <w:left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建设单位</w:t>
            </w:r>
          </w:p>
        </w:tc>
        <w:tc>
          <w:tcPr>
            <w:tcW w:w="1409" w:type="dxa"/>
            <w:tcBorders>
              <w:top w:val="single" w:color="auto" w:sz="4" w:space="0"/>
              <w:left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所在街道</w:t>
            </w:r>
          </w:p>
        </w:tc>
        <w:tc>
          <w:tcPr>
            <w:tcW w:w="2748" w:type="dxa"/>
            <w:tcBorders>
              <w:top w:val="single" w:color="auto" w:sz="4" w:space="0"/>
              <w:left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计划投入时间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1</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eastAsiaTheme="maj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原实验小学地块</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12</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教育局</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锦屏街道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2</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宁奉城际铁路金海路站03-08地块</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12</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宝龙</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岳林街道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3</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原南山新村地块（江辰府）</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9</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宋都</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岳林街道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4</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宁波宁南贸易物流区二号综合安置用房</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9</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方桥街道</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方桥街道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5</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南浦片安置区块一期及配套工程</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12</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中交</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江口街道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6</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奉化区集散中心北侧安置房项目</w:t>
            </w:r>
            <w:r>
              <w:rPr>
                <w:rFonts w:hint="eastAsia" w:eastAsiaTheme="majorEastAsia"/>
                <w:color w:val="000000" w:themeColor="text1"/>
                <w:sz w:val="21"/>
                <w:szCs w:val="21"/>
                <w14:textFill>
                  <w14:solidFill>
                    <w14:schemeClr w14:val="tx1"/>
                  </w14:solidFill>
                </w14:textFill>
              </w:rPr>
              <w:t>（尚景苑）</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12</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区投</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锦屏街道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7</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奉化区圣墩村二号地块安置房项目</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9</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区投</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岳林街道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8</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江口艺尚湾地块</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9</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荣安</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江口街道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9</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sz w:val="21"/>
                <w:szCs w:val="21"/>
              </w:rPr>
            </w:pPr>
            <w:r>
              <w:rPr>
                <w:rFonts w:hint="eastAsia" w:cs="Times New Roman"/>
                <w:sz w:val="21"/>
                <w:szCs w:val="21"/>
              </w:rPr>
              <w:t>奉化区东部门户区（一期）安置房项目S2地块</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sz w:val="21"/>
                <w:szCs w:val="21"/>
              </w:rPr>
            </w:pPr>
            <w:r>
              <w:rPr>
                <w:rFonts w:hint="eastAsia" w:cs="Times New Roman"/>
                <w:sz w:val="21"/>
                <w:szCs w:val="21"/>
              </w:rPr>
              <w:t>12</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sz w:val="21"/>
                <w:szCs w:val="21"/>
              </w:rPr>
            </w:pPr>
            <w:r>
              <w:rPr>
                <w:rFonts w:hint="eastAsia" w:cs="Times New Roman"/>
                <w:sz w:val="21"/>
                <w:szCs w:val="21"/>
              </w:rPr>
              <w:t>城投</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sz w:val="21"/>
                <w:szCs w:val="21"/>
              </w:rPr>
            </w:pPr>
            <w:r>
              <w:rPr>
                <w:rFonts w:hint="eastAsia" w:cs="Times New Roman"/>
                <w:sz w:val="21"/>
                <w:szCs w:val="21"/>
              </w:rPr>
              <w:t>岳林街道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sz w:val="21"/>
                <w:szCs w:val="21"/>
              </w:rPr>
            </w:pPr>
            <w:r>
              <w:rPr>
                <w:rFonts w:hint="eastAsia" w:cs="Times New Roman"/>
                <w:sz w:val="21"/>
                <w:szCs w:val="21"/>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10</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锦屏街道西溪住宅地块</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9</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时代</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锦屏街道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sz w:val="21"/>
                <w:szCs w:val="21"/>
              </w:rPr>
            </w:pPr>
            <w:r>
              <w:rPr>
                <w:rFonts w:hint="eastAsia" w:cs="Times New Roman"/>
                <w:b/>
                <w:sz w:val="21"/>
                <w:szCs w:val="21"/>
              </w:rPr>
              <w:t>11</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sz w:val="21"/>
                <w:szCs w:val="21"/>
              </w:rPr>
            </w:pPr>
            <w:r>
              <w:rPr>
                <w:rFonts w:hint="eastAsia" w:cs="Times New Roman"/>
                <w:sz w:val="21"/>
                <w:szCs w:val="21"/>
              </w:rPr>
              <w:t>西圃村三号地块（和光城樾庭）</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sz w:val="21"/>
                <w:szCs w:val="21"/>
              </w:rPr>
            </w:pPr>
            <w:r>
              <w:rPr>
                <w:rFonts w:hint="eastAsia" w:cs="Times New Roman"/>
                <w:sz w:val="21"/>
                <w:szCs w:val="21"/>
              </w:rPr>
              <w:t>9</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sz w:val="21"/>
                <w:szCs w:val="21"/>
              </w:rPr>
            </w:pPr>
            <w:r>
              <w:rPr>
                <w:rFonts w:hint="eastAsia" w:cs="Times New Roman"/>
                <w:sz w:val="21"/>
                <w:szCs w:val="21"/>
              </w:rPr>
              <w:t>宁波保通</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sz w:val="21"/>
                <w:szCs w:val="21"/>
              </w:rPr>
            </w:pPr>
            <w:r>
              <w:rPr>
                <w:rFonts w:hint="eastAsia" w:cs="Times New Roman"/>
                <w:sz w:val="21"/>
                <w:szCs w:val="21"/>
              </w:rPr>
              <w:t>锦屏街道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sz w:val="21"/>
                <w:szCs w:val="21"/>
              </w:rPr>
            </w:pPr>
            <w:r>
              <w:rPr>
                <w:rFonts w:hint="eastAsia" w:cs="Times New Roman"/>
                <w:sz w:val="21"/>
                <w:szCs w:val="21"/>
              </w:rPr>
              <w:t>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12</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萧王庙街道滕头村二号地块</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9</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滕头置业</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萧王庙街道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13</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宁波市奉化区岳林街道Ⅱ-04Ⅰ住宅地块（大成东境）</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12</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荣安</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岳林街道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14</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奉化健康旅游小镇4号地块</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12</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滨海管委会</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松岙镇</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15</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花园新村地块商住项目</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12</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珠江集团</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锦屏街道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16</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奉化健康旅游小镇3号地块</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12</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滨海管委会</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松岙镇</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17</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溪口镇中兴东路以北一号、二号、三号地块</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15</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芳满庭置业</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溪口镇</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kern w:val="2"/>
                <w:sz w:val="21"/>
                <w:szCs w:val="21"/>
                <w14:textFill>
                  <w14:solidFill>
                    <w14:schemeClr w14:val="tx1"/>
                  </w14:solidFill>
                </w14:textFill>
              </w:rPr>
              <w:t>18</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金钟路东侧舒前村住宅一号</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12</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荣安</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岳林街道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sz w:val="21"/>
                <w:szCs w:val="21"/>
              </w:rPr>
            </w:pPr>
            <w:r>
              <w:rPr>
                <w:rFonts w:hint="eastAsia" w:cs="Times New Roman"/>
                <w:b/>
                <w:kern w:val="2"/>
                <w:sz w:val="21"/>
                <w:szCs w:val="21"/>
              </w:rPr>
              <w:t>19</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sz w:val="21"/>
                <w:szCs w:val="21"/>
              </w:rPr>
            </w:pPr>
            <w:r>
              <w:rPr>
                <w:rFonts w:hint="eastAsia" w:cs="Times New Roman"/>
                <w:sz w:val="21"/>
                <w:szCs w:val="21"/>
              </w:rPr>
              <w:t>宁南贸易物流区二十六号地块项目</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sz w:val="21"/>
                <w:szCs w:val="21"/>
              </w:rPr>
            </w:pPr>
            <w:r>
              <w:rPr>
                <w:rFonts w:hint="eastAsia" w:cs="Times New Roman"/>
                <w:sz w:val="21"/>
                <w:szCs w:val="21"/>
              </w:rPr>
              <w:t>15</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sz w:val="21"/>
                <w:szCs w:val="21"/>
              </w:rPr>
            </w:pPr>
            <w:r>
              <w:rPr>
                <w:rFonts w:hint="eastAsia" w:cs="Times New Roman"/>
                <w:sz w:val="21"/>
                <w:szCs w:val="21"/>
              </w:rPr>
              <w:t>宁波鸿茂</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sz w:val="21"/>
                <w:szCs w:val="21"/>
              </w:rPr>
            </w:pPr>
            <w:r>
              <w:rPr>
                <w:rFonts w:hint="eastAsia" w:cs="Times New Roman"/>
                <w:sz w:val="21"/>
                <w:szCs w:val="21"/>
              </w:rPr>
              <w:t>方桥街道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sz w:val="21"/>
                <w:szCs w:val="21"/>
              </w:rPr>
            </w:pPr>
            <w:r>
              <w:rPr>
                <w:rFonts w:hint="eastAsia" w:cs="Times New Roman"/>
                <w:sz w:val="21"/>
                <w:szCs w:val="21"/>
              </w:rPr>
              <w:t>2024年4月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kern w:val="2"/>
                <w:sz w:val="21"/>
                <w:szCs w:val="21"/>
                <w14:textFill>
                  <w14:solidFill>
                    <w14:schemeClr w14:val="tx1"/>
                  </w14:solidFill>
                </w14:textFill>
              </w:rPr>
              <w:t>20</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宁波创新工业综合体JK01-08-04地块</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12</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杭州大家</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萧王庙街道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2024年9月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kern w:val="2"/>
                <w:sz w:val="21"/>
                <w:szCs w:val="21"/>
                <w14:textFill>
                  <w14:solidFill>
                    <w14:schemeClr w14:val="tx1"/>
                  </w14:solidFill>
                </w14:textFill>
              </w:rPr>
              <w:t>21</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城市转型示范区JK05-06-01n安置房</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12</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中交</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方桥街道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2024年9月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kern w:val="2"/>
                <w:sz w:val="21"/>
                <w:szCs w:val="21"/>
                <w14:textFill>
                  <w14:solidFill>
                    <w14:schemeClr w14:val="tx1"/>
                  </w14:solidFill>
                </w14:textFill>
              </w:rPr>
              <w:t>22</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江口街道前胡村安置房</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9</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江口街道</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江口街道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2024年9月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23</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奉化西河小区一期北侧地块安置房</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12</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区投</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锦屏街道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2024年9月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24</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原奉化中学地块</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15</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绿城</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岳林街道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2024年9月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sz w:val="21"/>
                <w:szCs w:val="21"/>
                <w14:textFill>
                  <w14:solidFill>
                    <w14:schemeClr w14:val="tx1"/>
                  </w14:solidFill>
                </w14:textFill>
              </w:rPr>
              <w:t>25</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宁波南部新城JK05-01-03i地块（林语秋月）</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15</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荣安</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江口街道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2025年9月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color w:val="000000" w:themeColor="text1"/>
                <w:sz w:val="21"/>
                <w:szCs w:val="21"/>
                <w14:textFill>
                  <w14:solidFill>
                    <w14:schemeClr w14:val="tx1"/>
                  </w14:solidFill>
                </w14:textFill>
              </w:rPr>
            </w:pPr>
            <w:r>
              <w:rPr>
                <w:rFonts w:hint="eastAsia" w:cs="Times New Roman"/>
                <w:b/>
                <w:color w:val="000000" w:themeColor="text1"/>
                <w:kern w:val="2"/>
                <w:sz w:val="21"/>
                <w:szCs w:val="21"/>
                <w14:textFill>
                  <w14:solidFill>
                    <w14:schemeClr w14:val="tx1"/>
                  </w14:solidFill>
                </w14:textFill>
              </w:rPr>
              <w:t>26</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阳光海湾44号地块幼儿园</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12</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滨海管委会</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裘村镇</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2025年9月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82" w:type="dxa"/>
            <w:tcBorders>
              <w:top w:val="single" w:color="auto" w:sz="4" w:space="0"/>
              <w:bottom w:val="single" w:color="auto" w:sz="4" w:space="0"/>
            </w:tcBorders>
            <w:vAlign w:val="center"/>
          </w:tcPr>
          <w:p>
            <w:pPr>
              <w:spacing w:line="0" w:lineRule="atLeast"/>
              <w:ind w:firstLine="0" w:firstLineChars="0"/>
              <w:jc w:val="center"/>
              <w:rPr>
                <w:rFonts w:cs="Times New Roman"/>
                <w:b/>
                <w:sz w:val="21"/>
                <w:szCs w:val="21"/>
              </w:rPr>
            </w:pPr>
            <w:r>
              <w:rPr>
                <w:rFonts w:hint="eastAsia" w:cs="Times New Roman"/>
                <w:b/>
                <w:sz w:val="21"/>
                <w:szCs w:val="21"/>
              </w:rPr>
              <w:t>27</w:t>
            </w:r>
          </w:p>
        </w:tc>
        <w:tc>
          <w:tcPr>
            <w:tcW w:w="5440" w:type="dxa"/>
            <w:tcBorders>
              <w:top w:val="single" w:color="auto" w:sz="4" w:space="0"/>
              <w:bottom w:val="single" w:color="auto" w:sz="4" w:space="0"/>
              <w:right w:val="single" w:color="auto" w:sz="4" w:space="0"/>
            </w:tcBorders>
            <w:vAlign w:val="center"/>
          </w:tcPr>
          <w:p>
            <w:pPr>
              <w:spacing w:line="0" w:lineRule="atLeast"/>
              <w:ind w:firstLine="0" w:firstLineChars="0"/>
              <w:jc w:val="left"/>
              <w:rPr>
                <w:rFonts w:cs="Times New Roman"/>
                <w:sz w:val="21"/>
                <w:szCs w:val="21"/>
              </w:rPr>
            </w:pPr>
            <w:r>
              <w:rPr>
                <w:rFonts w:hint="eastAsia" w:cs="Times New Roman"/>
                <w:sz w:val="21"/>
                <w:szCs w:val="21"/>
              </w:rPr>
              <w:t>江口街道园中村改造安置用房建筑工程</w:t>
            </w:r>
          </w:p>
        </w:tc>
        <w:tc>
          <w:tcPr>
            <w:tcW w:w="1629"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sz w:val="21"/>
                <w:szCs w:val="21"/>
              </w:rPr>
            </w:pPr>
            <w:r>
              <w:rPr>
                <w:rFonts w:hint="eastAsia" w:cs="Times New Roman"/>
                <w:sz w:val="21"/>
                <w:szCs w:val="21"/>
              </w:rPr>
              <w:t>15</w:t>
            </w:r>
          </w:p>
        </w:tc>
        <w:tc>
          <w:tcPr>
            <w:tcW w:w="156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sz w:val="21"/>
                <w:szCs w:val="21"/>
              </w:rPr>
            </w:pPr>
            <w:r>
              <w:rPr>
                <w:rFonts w:hint="eastAsia" w:cs="Times New Roman"/>
                <w:sz w:val="21"/>
                <w:szCs w:val="21"/>
              </w:rPr>
              <w:t>江口街道</w:t>
            </w:r>
          </w:p>
        </w:tc>
        <w:tc>
          <w:tcPr>
            <w:tcW w:w="1409" w:type="dxa"/>
            <w:tcBorders>
              <w:top w:val="single" w:color="auto" w:sz="4" w:space="0"/>
              <w:left w:val="single" w:color="auto" w:sz="4" w:space="0"/>
              <w:bottom w:val="single" w:color="auto" w:sz="4" w:space="0"/>
            </w:tcBorders>
            <w:vAlign w:val="center"/>
          </w:tcPr>
          <w:p>
            <w:pPr>
              <w:spacing w:line="0" w:lineRule="atLeast"/>
              <w:ind w:firstLine="0" w:firstLineChars="0"/>
              <w:jc w:val="left"/>
              <w:rPr>
                <w:rFonts w:cs="Times New Roman"/>
                <w:sz w:val="21"/>
                <w:szCs w:val="21"/>
              </w:rPr>
            </w:pPr>
            <w:r>
              <w:rPr>
                <w:rFonts w:hint="eastAsia" w:cs="Times New Roman"/>
                <w:sz w:val="21"/>
                <w:szCs w:val="21"/>
              </w:rPr>
              <w:t>江口街道</w:t>
            </w:r>
          </w:p>
        </w:tc>
        <w:tc>
          <w:tcPr>
            <w:tcW w:w="2748" w:type="dxa"/>
            <w:tcBorders>
              <w:top w:val="single" w:color="auto" w:sz="4" w:space="0"/>
              <w:left w:val="single" w:color="auto" w:sz="4" w:space="0"/>
              <w:bottom w:val="single" w:color="auto" w:sz="4" w:space="0"/>
            </w:tcBorders>
            <w:vAlign w:val="center"/>
          </w:tcPr>
          <w:p>
            <w:pPr>
              <w:spacing w:line="0" w:lineRule="atLeast"/>
              <w:ind w:firstLine="0" w:firstLineChars="0"/>
              <w:jc w:val="center"/>
              <w:rPr>
                <w:rFonts w:cs="Times New Roman"/>
                <w:sz w:val="21"/>
                <w:szCs w:val="21"/>
              </w:rPr>
            </w:pPr>
            <w:r>
              <w:rPr>
                <w:rFonts w:hint="eastAsia" w:cs="Times New Roman"/>
                <w:sz w:val="21"/>
                <w:szCs w:val="21"/>
              </w:rPr>
              <w:t>2025年9月</w:t>
            </w:r>
          </w:p>
        </w:tc>
      </w:tr>
    </w:tbl>
    <w:p>
      <w:pPr>
        <w:pStyle w:val="2"/>
      </w:pPr>
    </w:p>
    <w:p>
      <w:pPr>
        <w:pStyle w:val="2"/>
      </w:pPr>
    </w:p>
    <w:sectPr>
      <w:pgSz w:w="16838" w:h="11906" w:orient="landscape"/>
      <w:pgMar w:top="1587" w:right="1531" w:bottom="1361" w:left="1531"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3992649"/>
      <w:showingPlcHdr/>
    </w:sdtPr>
    <w:sdtContent>
      <w:p>
        <w:pPr>
          <w:pStyle w:val="14"/>
          <w:ind w:firstLine="360"/>
          <w:jc w:val="center"/>
        </w:pPr>
        <w:r>
          <w:t xml:space="preserve">     </w:t>
        </w:r>
      </w:p>
    </w:sdtContent>
  </w:sdt>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567815"/>
    </w:sdtPr>
    <w:sdtContent>
      <w:p>
        <w:pPr>
          <w:pStyle w:val="14"/>
          <w:ind w:firstLine="360"/>
          <w:jc w:val="center"/>
        </w:pPr>
        <w:r>
          <w:fldChar w:fldCharType="begin"/>
        </w:r>
        <w:r>
          <w:instrText xml:space="preserve">PAGE   \* MERGEFORMAT</w:instrText>
        </w:r>
        <w:r>
          <w:fldChar w:fldCharType="separate"/>
        </w:r>
        <w:r>
          <w:rPr>
            <w:lang w:val="zh-CN"/>
          </w:rPr>
          <w:t>9</w:t>
        </w:r>
        <w:r>
          <w:fldChar w:fldCharType="end"/>
        </w:r>
      </w:p>
    </w:sdtContent>
  </w:sdt>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41"/>
    <w:rsid w:val="000074AB"/>
    <w:rsid w:val="00021E2C"/>
    <w:rsid w:val="00027E77"/>
    <w:rsid w:val="00033481"/>
    <w:rsid w:val="00052B86"/>
    <w:rsid w:val="00060B0E"/>
    <w:rsid w:val="0006516E"/>
    <w:rsid w:val="00072C9F"/>
    <w:rsid w:val="00072EEA"/>
    <w:rsid w:val="00077641"/>
    <w:rsid w:val="000924F8"/>
    <w:rsid w:val="000932B6"/>
    <w:rsid w:val="000939C1"/>
    <w:rsid w:val="000A0D09"/>
    <w:rsid w:val="000A5BC7"/>
    <w:rsid w:val="000B4577"/>
    <w:rsid w:val="000C43A6"/>
    <w:rsid w:val="000C445B"/>
    <w:rsid w:val="000E6E26"/>
    <w:rsid w:val="00100B04"/>
    <w:rsid w:val="001037F5"/>
    <w:rsid w:val="0011098C"/>
    <w:rsid w:val="0011791A"/>
    <w:rsid w:val="00117BB4"/>
    <w:rsid w:val="00125D33"/>
    <w:rsid w:val="00127CBC"/>
    <w:rsid w:val="001362DF"/>
    <w:rsid w:val="00147B7D"/>
    <w:rsid w:val="0015682D"/>
    <w:rsid w:val="00163C2D"/>
    <w:rsid w:val="0017302A"/>
    <w:rsid w:val="0018562D"/>
    <w:rsid w:val="001861BC"/>
    <w:rsid w:val="0018625E"/>
    <w:rsid w:val="00190AD6"/>
    <w:rsid w:val="001943B2"/>
    <w:rsid w:val="00194D72"/>
    <w:rsid w:val="0019532C"/>
    <w:rsid w:val="001954EC"/>
    <w:rsid w:val="001C44B8"/>
    <w:rsid w:val="001D7677"/>
    <w:rsid w:val="001F6330"/>
    <w:rsid w:val="0021416F"/>
    <w:rsid w:val="00223B8C"/>
    <w:rsid w:val="002244DF"/>
    <w:rsid w:val="00230C67"/>
    <w:rsid w:val="002362D4"/>
    <w:rsid w:val="00240365"/>
    <w:rsid w:val="002545D1"/>
    <w:rsid w:val="00255E33"/>
    <w:rsid w:val="00255E5F"/>
    <w:rsid w:val="00260A6A"/>
    <w:rsid w:val="00263FE6"/>
    <w:rsid w:val="0027728B"/>
    <w:rsid w:val="0029219A"/>
    <w:rsid w:val="00292E10"/>
    <w:rsid w:val="002A1DD3"/>
    <w:rsid w:val="002A3EF4"/>
    <w:rsid w:val="002A4F04"/>
    <w:rsid w:val="002E0F23"/>
    <w:rsid w:val="002E2373"/>
    <w:rsid w:val="002E2B9F"/>
    <w:rsid w:val="002E5E1B"/>
    <w:rsid w:val="002E6662"/>
    <w:rsid w:val="002E78DE"/>
    <w:rsid w:val="003027C1"/>
    <w:rsid w:val="00340CA1"/>
    <w:rsid w:val="00347A6A"/>
    <w:rsid w:val="003530D5"/>
    <w:rsid w:val="003551C8"/>
    <w:rsid w:val="003568D1"/>
    <w:rsid w:val="00364AB7"/>
    <w:rsid w:val="003678E8"/>
    <w:rsid w:val="003725FB"/>
    <w:rsid w:val="00374355"/>
    <w:rsid w:val="003746DC"/>
    <w:rsid w:val="0038095C"/>
    <w:rsid w:val="0039242A"/>
    <w:rsid w:val="003A3365"/>
    <w:rsid w:val="003A346C"/>
    <w:rsid w:val="003C65D7"/>
    <w:rsid w:val="003D5741"/>
    <w:rsid w:val="00404531"/>
    <w:rsid w:val="0041082D"/>
    <w:rsid w:val="00413FE4"/>
    <w:rsid w:val="00422A1A"/>
    <w:rsid w:val="00423A7C"/>
    <w:rsid w:val="00433564"/>
    <w:rsid w:val="00437B53"/>
    <w:rsid w:val="00450CE1"/>
    <w:rsid w:val="00452FF6"/>
    <w:rsid w:val="00462E5A"/>
    <w:rsid w:val="00491B09"/>
    <w:rsid w:val="00491D17"/>
    <w:rsid w:val="00497D1D"/>
    <w:rsid w:val="004A383B"/>
    <w:rsid w:val="004C3DA4"/>
    <w:rsid w:val="004E046E"/>
    <w:rsid w:val="00500A7F"/>
    <w:rsid w:val="00504A7F"/>
    <w:rsid w:val="00532814"/>
    <w:rsid w:val="0054590E"/>
    <w:rsid w:val="00555BE1"/>
    <w:rsid w:val="00563451"/>
    <w:rsid w:val="00564F02"/>
    <w:rsid w:val="005714BE"/>
    <w:rsid w:val="00576222"/>
    <w:rsid w:val="005802CD"/>
    <w:rsid w:val="00583C86"/>
    <w:rsid w:val="0059138A"/>
    <w:rsid w:val="005B487F"/>
    <w:rsid w:val="005C1226"/>
    <w:rsid w:val="005C1CF2"/>
    <w:rsid w:val="005E2EA4"/>
    <w:rsid w:val="0062213A"/>
    <w:rsid w:val="006355AB"/>
    <w:rsid w:val="00642832"/>
    <w:rsid w:val="006529A0"/>
    <w:rsid w:val="00654B0B"/>
    <w:rsid w:val="0065752C"/>
    <w:rsid w:val="00665CCE"/>
    <w:rsid w:val="00672D2F"/>
    <w:rsid w:val="006A4239"/>
    <w:rsid w:val="006C7F8B"/>
    <w:rsid w:val="006D529A"/>
    <w:rsid w:val="006E10DC"/>
    <w:rsid w:val="006E1E28"/>
    <w:rsid w:val="006E668E"/>
    <w:rsid w:val="006F2944"/>
    <w:rsid w:val="006F76AB"/>
    <w:rsid w:val="00717C0B"/>
    <w:rsid w:val="00732CF7"/>
    <w:rsid w:val="00760912"/>
    <w:rsid w:val="00761279"/>
    <w:rsid w:val="007829FE"/>
    <w:rsid w:val="00786396"/>
    <w:rsid w:val="007926FF"/>
    <w:rsid w:val="00795858"/>
    <w:rsid w:val="007A06BF"/>
    <w:rsid w:val="007D480B"/>
    <w:rsid w:val="007F6ACA"/>
    <w:rsid w:val="007F7220"/>
    <w:rsid w:val="0080410D"/>
    <w:rsid w:val="00805F4E"/>
    <w:rsid w:val="00834161"/>
    <w:rsid w:val="008548E3"/>
    <w:rsid w:val="0087533D"/>
    <w:rsid w:val="00875764"/>
    <w:rsid w:val="00875ACA"/>
    <w:rsid w:val="008A60A0"/>
    <w:rsid w:val="008D2C5B"/>
    <w:rsid w:val="008D41D9"/>
    <w:rsid w:val="008D6E34"/>
    <w:rsid w:val="008E10FD"/>
    <w:rsid w:val="008E5936"/>
    <w:rsid w:val="0090080E"/>
    <w:rsid w:val="00915C13"/>
    <w:rsid w:val="00933C73"/>
    <w:rsid w:val="009351DC"/>
    <w:rsid w:val="00946DEE"/>
    <w:rsid w:val="00974416"/>
    <w:rsid w:val="00976FE6"/>
    <w:rsid w:val="009770F0"/>
    <w:rsid w:val="009A12C0"/>
    <w:rsid w:val="009A2208"/>
    <w:rsid w:val="009C4148"/>
    <w:rsid w:val="009D53EC"/>
    <w:rsid w:val="009E07D9"/>
    <w:rsid w:val="009E0ADA"/>
    <w:rsid w:val="009E5850"/>
    <w:rsid w:val="00A23BA7"/>
    <w:rsid w:val="00A41AF8"/>
    <w:rsid w:val="00A831FA"/>
    <w:rsid w:val="00A85670"/>
    <w:rsid w:val="00AA0116"/>
    <w:rsid w:val="00AC4244"/>
    <w:rsid w:val="00AE30B0"/>
    <w:rsid w:val="00AE3262"/>
    <w:rsid w:val="00B04F79"/>
    <w:rsid w:val="00B07655"/>
    <w:rsid w:val="00B1334B"/>
    <w:rsid w:val="00B17333"/>
    <w:rsid w:val="00B26445"/>
    <w:rsid w:val="00B319C8"/>
    <w:rsid w:val="00B51205"/>
    <w:rsid w:val="00B52E04"/>
    <w:rsid w:val="00B65C02"/>
    <w:rsid w:val="00B738D9"/>
    <w:rsid w:val="00B73F26"/>
    <w:rsid w:val="00B91AEB"/>
    <w:rsid w:val="00BB7E7E"/>
    <w:rsid w:val="00BD30AF"/>
    <w:rsid w:val="00BD59FC"/>
    <w:rsid w:val="00BE0EE6"/>
    <w:rsid w:val="00BF1F3F"/>
    <w:rsid w:val="00BF4237"/>
    <w:rsid w:val="00C16709"/>
    <w:rsid w:val="00C22511"/>
    <w:rsid w:val="00C23B53"/>
    <w:rsid w:val="00C24C50"/>
    <w:rsid w:val="00C36A15"/>
    <w:rsid w:val="00C42836"/>
    <w:rsid w:val="00C512D1"/>
    <w:rsid w:val="00C51785"/>
    <w:rsid w:val="00C6058D"/>
    <w:rsid w:val="00C60B34"/>
    <w:rsid w:val="00C60B94"/>
    <w:rsid w:val="00C67549"/>
    <w:rsid w:val="00C8652D"/>
    <w:rsid w:val="00C93DC0"/>
    <w:rsid w:val="00C95897"/>
    <w:rsid w:val="00CB623F"/>
    <w:rsid w:val="00CB75BC"/>
    <w:rsid w:val="00CD08CE"/>
    <w:rsid w:val="00CD483D"/>
    <w:rsid w:val="00CE2D26"/>
    <w:rsid w:val="00CF254F"/>
    <w:rsid w:val="00CF76B3"/>
    <w:rsid w:val="00D0028C"/>
    <w:rsid w:val="00D14E45"/>
    <w:rsid w:val="00D17412"/>
    <w:rsid w:val="00D337AF"/>
    <w:rsid w:val="00D410FD"/>
    <w:rsid w:val="00D4196B"/>
    <w:rsid w:val="00D42138"/>
    <w:rsid w:val="00D43193"/>
    <w:rsid w:val="00D529C6"/>
    <w:rsid w:val="00D673D6"/>
    <w:rsid w:val="00D70CE9"/>
    <w:rsid w:val="00D8252E"/>
    <w:rsid w:val="00D91154"/>
    <w:rsid w:val="00D952AA"/>
    <w:rsid w:val="00DA5EAE"/>
    <w:rsid w:val="00DD7B0A"/>
    <w:rsid w:val="00DE7C72"/>
    <w:rsid w:val="00DF1936"/>
    <w:rsid w:val="00DF5ED7"/>
    <w:rsid w:val="00E03588"/>
    <w:rsid w:val="00E13961"/>
    <w:rsid w:val="00E204B2"/>
    <w:rsid w:val="00E21612"/>
    <w:rsid w:val="00E24250"/>
    <w:rsid w:val="00E31B10"/>
    <w:rsid w:val="00E33415"/>
    <w:rsid w:val="00E372BB"/>
    <w:rsid w:val="00E37FAF"/>
    <w:rsid w:val="00E46150"/>
    <w:rsid w:val="00E5295A"/>
    <w:rsid w:val="00E54E4F"/>
    <w:rsid w:val="00E75DCA"/>
    <w:rsid w:val="00E76F2D"/>
    <w:rsid w:val="00E913DF"/>
    <w:rsid w:val="00EA0E8D"/>
    <w:rsid w:val="00EB184C"/>
    <w:rsid w:val="00EB4D31"/>
    <w:rsid w:val="00EC19E0"/>
    <w:rsid w:val="00EC3AC7"/>
    <w:rsid w:val="00EC502D"/>
    <w:rsid w:val="00EC5884"/>
    <w:rsid w:val="00ED22EB"/>
    <w:rsid w:val="00ED465F"/>
    <w:rsid w:val="00ED4A24"/>
    <w:rsid w:val="00EF2474"/>
    <w:rsid w:val="00EF2C26"/>
    <w:rsid w:val="00EF5C84"/>
    <w:rsid w:val="00F012C6"/>
    <w:rsid w:val="00F05749"/>
    <w:rsid w:val="00F06FC4"/>
    <w:rsid w:val="00F22B59"/>
    <w:rsid w:val="00F2448E"/>
    <w:rsid w:val="00F25184"/>
    <w:rsid w:val="00F37054"/>
    <w:rsid w:val="00F40BA8"/>
    <w:rsid w:val="00F55A1C"/>
    <w:rsid w:val="00F5764A"/>
    <w:rsid w:val="00F732F8"/>
    <w:rsid w:val="00F74044"/>
    <w:rsid w:val="00F76CA3"/>
    <w:rsid w:val="00F8032A"/>
    <w:rsid w:val="00F93372"/>
    <w:rsid w:val="00F96C43"/>
    <w:rsid w:val="00FC742A"/>
    <w:rsid w:val="00FD29CB"/>
    <w:rsid w:val="00FE5450"/>
    <w:rsid w:val="03B51483"/>
    <w:rsid w:val="096054E2"/>
    <w:rsid w:val="09CA1D89"/>
    <w:rsid w:val="0B0F0731"/>
    <w:rsid w:val="0B3A25DE"/>
    <w:rsid w:val="0C1F0F17"/>
    <w:rsid w:val="0D446636"/>
    <w:rsid w:val="0F5068A5"/>
    <w:rsid w:val="0FB66EC9"/>
    <w:rsid w:val="10237456"/>
    <w:rsid w:val="129F615A"/>
    <w:rsid w:val="12BD1FFC"/>
    <w:rsid w:val="13B41D0A"/>
    <w:rsid w:val="14F4614F"/>
    <w:rsid w:val="15C04459"/>
    <w:rsid w:val="165F65E8"/>
    <w:rsid w:val="17DE7B49"/>
    <w:rsid w:val="19B56E35"/>
    <w:rsid w:val="1AAB6F65"/>
    <w:rsid w:val="1BBC5175"/>
    <w:rsid w:val="1C3B176D"/>
    <w:rsid w:val="1EDD4423"/>
    <w:rsid w:val="1FD9763F"/>
    <w:rsid w:val="23FD5D50"/>
    <w:rsid w:val="26AC46BF"/>
    <w:rsid w:val="27E86993"/>
    <w:rsid w:val="2947716E"/>
    <w:rsid w:val="29665EA6"/>
    <w:rsid w:val="29865C94"/>
    <w:rsid w:val="2A730E91"/>
    <w:rsid w:val="2A83581E"/>
    <w:rsid w:val="2ABB3DB8"/>
    <w:rsid w:val="2ECB4BA2"/>
    <w:rsid w:val="2FE66897"/>
    <w:rsid w:val="30102632"/>
    <w:rsid w:val="325E77ED"/>
    <w:rsid w:val="326F5660"/>
    <w:rsid w:val="32B53717"/>
    <w:rsid w:val="33184461"/>
    <w:rsid w:val="368D0257"/>
    <w:rsid w:val="36DA217F"/>
    <w:rsid w:val="37252109"/>
    <w:rsid w:val="38074996"/>
    <w:rsid w:val="392F4CDC"/>
    <w:rsid w:val="399E2810"/>
    <w:rsid w:val="3BF8451D"/>
    <w:rsid w:val="3EE20F85"/>
    <w:rsid w:val="3F2A19E9"/>
    <w:rsid w:val="3F6B4A3F"/>
    <w:rsid w:val="41925478"/>
    <w:rsid w:val="42093101"/>
    <w:rsid w:val="42ED5DFA"/>
    <w:rsid w:val="43292C8B"/>
    <w:rsid w:val="43596C91"/>
    <w:rsid w:val="46436267"/>
    <w:rsid w:val="470C68C5"/>
    <w:rsid w:val="474730B6"/>
    <w:rsid w:val="4785407F"/>
    <w:rsid w:val="48F8732B"/>
    <w:rsid w:val="49534BF8"/>
    <w:rsid w:val="4AA47615"/>
    <w:rsid w:val="4C5C084C"/>
    <w:rsid w:val="4C6510DD"/>
    <w:rsid w:val="4D3C319B"/>
    <w:rsid w:val="4DBE200D"/>
    <w:rsid w:val="4E0E4EA9"/>
    <w:rsid w:val="4E564E69"/>
    <w:rsid w:val="52F904D6"/>
    <w:rsid w:val="56065CDB"/>
    <w:rsid w:val="56D84493"/>
    <w:rsid w:val="59186AD2"/>
    <w:rsid w:val="5A2001C9"/>
    <w:rsid w:val="5B7C1539"/>
    <w:rsid w:val="5BB40B1C"/>
    <w:rsid w:val="5BE21D34"/>
    <w:rsid w:val="5C7F14BF"/>
    <w:rsid w:val="5D77712E"/>
    <w:rsid w:val="5EF94DD7"/>
    <w:rsid w:val="6033717B"/>
    <w:rsid w:val="61615CEA"/>
    <w:rsid w:val="62720334"/>
    <w:rsid w:val="62F67B70"/>
    <w:rsid w:val="63846EC6"/>
    <w:rsid w:val="67432D12"/>
    <w:rsid w:val="67C67D3E"/>
    <w:rsid w:val="69243C25"/>
    <w:rsid w:val="692C1D46"/>
    <w:rsid w:val="694824B5"/>
    <w:rsid w:val="695B54A1"/>
    <w:rsid w:val="69886AAF"/>
    <w:rsid w:val="69DD3902"/>
    <w:rsid w:val="69FE07C9"/>
    <w:rsid w:val="6C241D62"/>
    <w:rsid w:val="6DA1767F"/>
    <w:rsid w:val="6DD1249A"/>
    <w:rsid w:val="6EFF34AB"/>
    <w:rsid w:val="6F7B0B23"/>
    <w:rsid w:val="6FAD019D"/>
    <w:rsid w:val="71C86314"/>
    <w:rsid w:val="722B7137"/>
    <w:rsid w:val="7235247A"/>
    <w:rsid w:val="72C17D37"/>
    <w:rsid w:val="75B07B4B"/>
    <w:rsid w:val="75B454E4"/>
    <w:rsid w:val="76137412"/>
    <w:rsid w:val="76E02776"/>
    <w:rsid w:val="77411DFF"/>
    <w:rsid w:val="77FF04EA"/>
    <w:rsid w:val="78896E20"/>
    <w:rsid w:val="793B4506"/>
    <w:rsid w:val="79476ABE"/>
    <w:rsid w:val="79EF3018"/>
    <w:rsid w:val="7A321570"/>
    <w:rsid w:val="7B9E228A"/>
    <w:rsid w:val="7BAD21CE"/>
    <w:rsid w:val="7C9630FC"/>
    <w:rsid w:val="7CDC163A"/>
    <w:rsid w:val="7F1E2BDD"/>
    <w:rsid w:val="7FED0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640" w:firstLineChars="200"/>
      <w:jc w:val="both"/>
    </w:pPr>
    <w:rPr>
      <w:rFonts w:ascii="Times New Roman" w:hAnsi="Times New Roman" w:eastAsia="仿宋" w:cs="宋体"/>
      <w:sz w:val="32"/>
      <w:szCs w:val="32"/>
      <w:lang w:val="en-US" w:eastAsia="zh-CN" w:bidi="ar-SA"/>
    </w:rPr>
  </w:style>
  <w:style w:type="paragraph" w:styleId="3">
    <w:name w:val="heading 1"/>
    <w:basedOn w:val="1"/>
    <w:next w:val="1"/>
    <w:link w:val="35"/>
    <w:qFormat/>
    <w:uiPriority w:val="0"/>
    <w:pPr>
      <w:ind w:firstLine="643"/>
      <w:outlineLvl w:val="0"/>
    </w:pPr>
    <w:rPr>
      <w:rFonts w:eastAsia="黑体"/>
      <w:b/>
    </w:rPr>
  </w:style>
  <w:style w:type="paragraph" w:styleId="4">
    <w:name w:val="heading 2"/>
    <w:basedOn w:val="3"/>
    <w:next w:val="1"/>
    <w:link w:val="37"/>
    <w:unhideWhenUsed/>
    <w:qFormat/>
    <w:uiPriority w:val="0"/>
    <w:pPr>
      <w:outlineLvl w:val="1"/>
    </w:pPr>
    <w:rPr>
      <w:b w:val="0"/>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style>
  <w:style w:type="paragraph" w:styleId="5">
    <w:name w:val="toc 7"/>
    <w:basedOn w:val="1"/>
    <w:next w:val="1"/>
    <w:qFormat/>
    <w:uiPriority w:val="0"/>
    <w:pPr>
      <w:ind w:left="1920"/>
      <w:jc w:val="left"/>
    </w:pPr>
    <w:rPr>
      <w:sz w:val="20"/>
      <w:szCs w:val="20"/>
    </w:rPr>
  </w:style>
  <w:style w:type="paragraph" w:styleId="6">
    <w:name w:val="Normal Indent"/>
    <w:basedOn w:val="1"/>
    <w:qFormat/>
    <w:uiPriority w:val="0"/>
    <w:pPr>
      <w:ind w:firstLine="420"/>
    </w:pPr>
    <w:rPr>
      <w:rFonts w:ascii="Calibri" w:hAnsi="Calibri" w:eastAsia="宋体" w:cs="Calibri"/>
      <w:szCs w:val="21"/>
    </w:rPr>
  </w:style>
  <w:style w:type="paragraph" w:styleId="7">
    <w:name w:val="annotation text"/>
    <w:basedOn w:val="1"/>
    <w:link w:val="40"/>
    <w:qFormat/>
    <w:uiPriority w:val="0"/>
    <w:pPr>
      <w:jc w:val="left"/>
    </w:pPr>
  </w:style>
  <w:style w:type="paragraph" w:styleId="8">
    <w:name w:val="Body Text"/>
    <w:basedOn w:val="1"/>
    <w:link w:val="42"/>
    <w:semiHidden/>
    <w:unhideWhenUsed/>
    <w:uiPriority w:val="0"/>
    <w:pPr>
      <w:spacing w:after="120"/>
    </w:pPr>
  </w:style>
  <w:style w:type="paragraph" w:styleId="9">
    <w:name w:val="toc 5"/>
    <w:basedOn w:val="1"/>
    <w:next w:val="1"/>
    <w:qFormat/>
    <w:uiPriority w:val="0"/>
    <w:pPr>
      <w:ind w:left="1280"/>
      <w:jc w:val="left"/>
    </w:pPr>
    <w:rPr>
      <w:sz w:val="20"/>
      <w:szCs w:val="20"/>
    </w:rPr>
  </w:style>
  <w:style w:type="paragraph" w:styleId="10">
    <w:name w:val="toc 3"/>
    <w:basedOn w:val="1"/>
    <w:next w:val="1"/>
    <w:qFormat/>
    <w:uiPriority w:val="39"/>
    <w:pPr>
      <w:ind w:left="640"/>
      <w:jc w:val="left"/>
    </w:pPr>
    <w:rPr>
      <w:sz w:val="20"/>
      <w:szCs w:val="20"/>
    </w:rPr>
  </w:style>
  <w:style w:type="paragraph" w:styleId="11">
    <w:name w:val="toc 8"/>
    <w:basedOn w:val="1"/>
    <w:next w:val="1"/>
    <w:qFormat/>
    <w:uiPriority w:val="0"/>
    <w:pPr>
      <w:ind w:left="2240"/>
      <w:jc w:val="left"/>
    </w:pPr>
    <w:rPr>
      <w:sz w:val="20"/>
      <w:szCs w:val="20"/>
    </w:rPr>
  </w:style>
  <w:style w:type="paragraph" w:styleId="12">
    <w:name w:val="Body Text Indent 2"/>
    <w:basedOn w:val="1"/>
    <w:qFormat/>
    <w:uiPriority w:val="99"/>
    <w:pPr>
      <w:spacing w:line="440" w:lineRule="exact"/>
      <w:ind w:left="600" w:leftChars="200"/>
    </w:pPr>
  </w:style>
  <w:style w:type="paragraph" w:styleId="13">
    <w:name w:val="Balloon Text"/>
    <w:basedOn w:val="1"/>
    <w:link w:val="41"/>
    <w:qFormat/>
    <w:uiPriority w:val="0"/>
    <w:pPr>
      <w:spacing w:line="240" w:lineRule="auto"/>
    </w:pPr>
    <w:rPr>
      <w:sz w:val="18"/>
      <w:szCs w:val="18"/>
    </w:rPr>
  </w:style>
  <w:style w:type="paragraph" w:styleId="14">
    <w:name w:val="footer"/>
    <w:basedOn w:val="1"/>
    <w:link w:val="39"/>
    <w:qFormat/>
    <w:uiPriority w:val="99"/>
    <w:pPr>
      <w:tabs>
        <w:tab w:val="center" w:pos="4153"/>
        <w:tab w:val="right" w:pos="8306"/>
      </w:tabs>
      <w:snapToGrid w:val="0"/>
    </w:pPr>
    <w:rPr>
      <w:sz w:val="18"/>
      <w:szCs w:val="18"/>
    </w:rPr>
  </w:style>
  <w:style w:type="paragraph" w:styleId="15">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line="240" w:lineRule="exact"/>
      <w:ind w:firstLine="200"/>
      <w:jc w:val="left"/>
    </w:pPr>
    <w:rPr>
      <w:b/>
      <w:bCs/>
      <w:iCs/>
      <w:sz w:val="24"/>
      <w:szCs w:val="24"/>
    </w:rPr>
  </w:style>
  <w:style w:type="paragraph" w:styleId="17">
    <w:name w:val="toc 4"/>
    <w:basedOn w:val="1"/>
    <w:next w:val="1"/>
    <w:qFormat/>
    <w:uiPriority w:val="0"/>
    <w:pPr>
      <w:ind w:left="960"/>
      <w:jc w:val="left"/>
    </w:pPr>
    <w:rPr>
      <w:sz w:val="20"/>
      <w:szCs w:val="20"/>
    </w:rPr>
  </w:style>
  <w:style w:type="paragraph" w:styleId="18">
    <w:name w:val="toc 6"/>
    <w:basedOn w:val="1"/>
    <w:next w:val="1"/>
    <w:qFormat/>
    <w:uiPriority w:val="0"/>
    <w:pPr>
      <w:ind w:left="1600"/>
      <w:jc w:val="left"/>
    </w:pPr>
    <w:rPr>
      <w:sz w:val="20"/>
      <w:szCs w:val="20"/>
    </w:rPr>
  </w:style>
  <w:style w:type="paragraph" w:styleId="19">
    <w:name w:val="toc 2"/>
    <w:basedOn w:val="1"/>
    <w:next w:val="1"/>
    <w:qFormat/>
    <w:uiPriority w:val="39"/>
    <w:pPr>
      <w:spacing w:before="120" w:line="240" w:lineRule="exact"/>
      <w:ind w:left="318" w:firstLine="200"/>
      <w:jc w:val="left"/>
    </w:pPr>
    <w:rPr>
      <w:bCs/>
      <w:sz w:val="22"/>
      <w:szCs w:val="22"/>
    </w:rPr>
  </w:style>
  <w:style w:type="paragraph" w:styleId="20">
    <w:name w:val="toc 9"/>
    <w:basedOn w:val="1"/>
    <w:next w:val="1"/>
    <w:qFormat/>
    <w:uiPriority w:val="0"/>
    <w:pPr>
      <w:ind w:left="2560"/>
      <w:jc w:val="left"/>
    </w:pPr>
    <w:rPr>
      <w:sz w:val="20"/>
      <w:szCs w:val="20"/>
    </w:rPr>
  </w:style>
  <w:style w:type="paragraph" w:styleId="21">
    <w:name w:val="Normal (Web)"/>
    <w:basedOn w:val="1"/>
    <w:qFormat/>
    <w:uiPriority w:val="0"/>
    <w:pPr>
      <w:spacing w:beforeAutospacing="1" w:afterAutospacing="1"/>
    </w:pPr>
    <w:rPr>
      <w:rFonts w:eastAsia="仿宋_GB2312" w:cs="Times New Roman"/>
      <w:sz w:val="24"/>
    </w:rPr>
  </w:style>
  <w:style w:type="paragraph" w:styleId="22">
    <w:name w:val="Body Text First Indent"/>
    <w:basedOn w:val="8"/>
    <w:link w:val="43"/>
    <w:unhideWhenUsed/>
    <w:qFormat/>
    <w:uiPriority w:val="0"/>
    <w:pPr>
      <w:ind w:firstLine="420" w:firstLineChars="100"/>
    </w:p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bCs/>
    </w:rPr>
  </w:style>
  <w:style w:type="character" w:styleId="27">
    <w:name w:val="FollowedHyperlink"/>
    <w:basedOn w:val="25"/>
    <w:qFormat/>
    <w:uiPriority w:val="0"/>
    <w:rPr>
      <w:color w:val="333333"/>
      <w:u w:val="none"/>
    </w:rPr>
  </w:style>
  <w:style w:type="character" w:styleId="28">
    <w:name w:val="Emphasis"/>
    <w:basedOn w:val="25"/>
    <w:qFormat/>
    <w:uiPriority w:val="0"/>
    <w:rPr>
      <w:i/>
    </w:rPr>
  </w:style>
  <w:style w:type="character" w:styleId="29">
    <w:name w:val="Hyperlink"/>
    <w:basedOn w:val="25"/>
    <w:unhideWhenUsed/>
    <w:qFormat/>
    <w:uiPriority w:val="99"/>
    <w:rPr>
      <w:color w:val="0563C1" w:themeColor="hyperlink"/>
      <w:u w:val="single"/>
      <w14:textFill>
        <w14:solidFill>
          <w14:schemeClr w14:val="hlink"/>
        </w14:solidFill>
      </w14:textFill>
    </w:rPr>
  </w:style>
  <w:style w:type="character" w:customStyle="1" w:styleId="30">
    <w:name w:val="fontstyle01"/>
    <w:basedOn w:val="25"/>
    <w:qFormat/>
    <w:uiPriority w:val="0"/>
    <w:rPr>
      <w:rFonts w:ascii="仿宋_GB2312" w:eastAsia="仿宋_GB2312" w:cs="仿宋_GB2312"/>
      <w:color w:val="000000"/>
      <w:sz w:val="32"/>
      <w:szCs w:val="32"/>
    </w:rPr>
  </w:style>
  <w:style w:type="paragraph" w:customStyle="1" w:styleId="31">
    <w:name w:val="列出段落2"/>
    <w:basedOn w:val="1"/>
    <w:qFormat/>
    <w:uiPriority w:val="99"/>
    <w:pPr>
      <w:ind w:firstLine="420"/>
    </w:pPr>
  </w:style>
  <w:style w:type="character" w:customStyle="1" w:styleId="32">
    <w:name w:val="页眉 字符"/>
    <w:basedOn w:val="25"/>
    <w:link w:val="15"/>
    <w:qFormat/>
    <w:uiPriority w:val="0"/>
    <w:rPr>
      <w:rFonts w:cs="宋体"/>
      <w:sz w:val="18"/>
      <w:szCs w:val="18"/>
    </w:rPr>
  </w:style>
  <w:style w:type="paragraph" w:styleId="33">
    <w:name w:val="List Paragraph"/>
    <w:basedOn w:val="1"/>
    <w:qFormat/>
    <w:uiPriority w:val="99"/>
    <w:pPr>
      <w:ind w:firstLine="420"/>
    </w:pPr>
  </w:style>
  <w:style w:type="paragraph" w:customStyle="1" w:styleId="34">
    <w:name w:val="普通(网站)1"/>
    <w:basedOn w:val="1"/>
    <w:qFormat/>
    <w:uiPriority w:val="0"/>
    <w:pPr>
      <w:jc w:val="left"/>
    </w:pPr>
    <w:rPr>
      <w:rFonts w:cstheme="minorBidi"/>
      <w:sz w:val="24"/>
      <w:szCs w:val="24"/>
    </w:rPr>
  </w:style>
  <w:style w:type="character" w:customStyle="1" w:styleId="35">
    <w:name w:val="标题 1 字符"/>
    <w:basedOn w:val="25"/>
    <w:link w:val="3"/>
    <w:qFormat/>
    <w:uiPriority w:val="0"/>
    <w:rPr>
      <w:rFonts w:eastAsia="黑体" w:cs="宋体"/>
      <w:b/>
      <w:sz w:val="32"/>
      <w:szCs w:val="32"/>
    </w:rPr>
  </w:style>
  <w:style w:type="paragraph" w:customStyle="1" w:styleId="36">
    <w:name w:val="TOC 标题1"/>
    <w:basedOn w:val="3"/>
    <w:next w:val="1"/>
    <w:unhideWhenUsed/>
    <w:qFormat/>
    <w:uiPriority w:val="39"/>
    <w:pPr>
      <w:widowControl/>
      <w:spacing w:before="240" w:line="259" w:lineRule="auto"/>
      <w:jc w:val="left"/>
      <w:outlineLvl w:val="9"/>
    </w:pPr>
    <w:rPr>
      <w:rFonts w:asciiTheme="majorHAnsi" w:hAnsiTheme="majorHAnsi" w:eastAsiaTheme="majorEastAsia" w:cstheme="majorBidi"/>
      <w:b w:val="0"/>
      <w:bCs/>
      <w:color w:val="2E75B6" w:themeColor="accent1" w:themeShade="BF"/>
    </w:rPr>
  </w:style>
  <w:style w:type="character" w:customStyle="1" w:styleId="37">
    <w:name w:val="标题 2 字符"/>
    <w:basedOn w:val="25"/>
    <w:link w:val="4"/>
    <w:qFormat/>
    <w:uiPriority w:val="0"/>
    <w:rPr>
      <w:rFonts w:eastAsia="黑体" w:cs="宋体"/>
      <w:sz w:val="32"/>
      <w:szCs w:val="32"/>
    </w:rPr>
  </w:style>
  <w:style w:type="character" w:customStyle="1" w:styleId="38">
    <w:name w:val="bsharetext"/>
    <w:basedOn w:val="25"/>
    <w:qFormat/>
    <w:uiPriority w:val="0"/>
  </w:style>
  <w:style w:type="character" w:customStyle="1" w:styleId="39">
    <w:name w:val="页脚 字符"/>
    <w:basedOn w:val="25"/>
    <w:link w:val="14"/>
    <w:qFormat/>
    <w:uiPriority w:val="99"/>
    <w:rPr>
      <w:rFonts w:eastAsia="仿宋" w:cs="宋体" w:asciiTheme="minorHAnsi" w:hAnsiTheme="minorHAnsi"/>
      <w:sz w:val="18"/>
      <w:szCs w:val="18"/>
    </w:rPr>
  </w:style>
  <w:style w:type="character" w:customStyle="1" w:styleId="40">
    <w:name w:val="批注文字 字符"/>
    <w:basedOn w:val="25"/>
    <w:link w:val="7"/>
    <w:qFormat/>
    <w:uiPriority w:val="0"/>
    <w:rPr>
      <w:rFonts w:eastAsia="仿宋" w:cs="宋体" w:asciiTheme="minorHAnsi" w:hAnsiTheme="minorHAnsi"/>
      <w:sz w:val="32"/>
      <w:szCs w:val="32"/>
    </w:rPr>
  </w:style>
  <w:style w:type="character" w:customStyle="1" w:styleId="41">
    <w:name w:val="批注框文本 字符"/>
    <w:basedOn w:val="25"/>
    <w:link w:val="13"/>
    <w:qFormat/>
    <w:uiPriority w:val="0"/>
    <w:rPr>
      <w:rFonts w:eastAsia="仿宋" w:cs="宋体"/>
      <w:sz w:val="18"/>
      <w:szCs w:val="18"/>
    </w:rPr>
  </w:style>
  <w:style w:type="character" w:customStyle="1" w:styleId="42">
    <w:name w:val="正文文本 字符"/>
    <w:basedOn w:val="25"/>
    <w:link w:val="8"/>
    <w:semiHidden/>
    <w:qFormat/>
    <w:uiPriority w:val="0"/>
    <w:rPr>
      <w:rFonts w:eastAsia="仿宋" w:cs="宋体"/>
      <w:sz w:val="32"/>
      <w:szCs w:val="32"/>
    </w:rPr>
  </w:style>
  <w:style w:type="character" w:customStyle="1" w:styleId="43">
    <w:name w:val="正文文本首行缩进 字符"/>
    <w:basedOn w:val="42"/>
    <w:link w:val="22"/>
    <w:qFormat/>
    <w:uiPriority w:val="0"/>
    <w:rPr>
      <w:rFonts w:eastAsia="仿宋" w:cs="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2E2AA-1417-4C73-A72A-73CDD5E23BD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2759</Words>
  <Characters>15732</Characters>
  <Lines>131</Lines>
  <Paragraphs>36</Paragraphs>
  <TotalTime>0</TotalTime>
  <ScaleCrop>false</ScaleCrop>
  <LinksUpToDate>false</LinksUpToDate>
  <CharactersWithSpaces>18455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2021-09-16T07:46:00Z</dcterms:created>
  <dc:creator>shige</dc:creator>
  <cp:lastModifiedBy>mashimaro</cp:lastModifiedBy>
  <cp:lastPrinted>2021-09-26T02:04:00Z</cp:lastPrinted>
  <dcterms:modified xsi:type="dcterms:W3CDTF">2021-12-15T06:30:24Z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43925DFB56E04D89861A8C38B1CEA566</vt:lpwstr>
  </property>
</Properties>
</file>