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宁波市奉化区退役军人事务局2022年政府信息公开工作年度报告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仿宋"/>
          <w:sz w:val="32"/>
          <w:szCs w:val="32"/>
          <w:lang w:bidi="ar-SA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《浙江省人民政府办公厅关于印发202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年浙江省政务公开工作要点的通知》（浙政办发〔202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号）、《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关于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2022年宁波市政务公开工作任务分解的通知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》（甬政办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〔202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号）和《2022年宁波市奉化区政务公开工作任务分解》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有关要求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我局落实工作职责，依法公开、全面公开、全面及时、注重实效，重点公开退役军人再就业相关信息，认真落实我局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年政务公开工作，</w:t>
      </w:r>
      <w:r>
        <w:rPr>
          <w:rFonts w:ascii="Times New Roman" w:hAnsi="Times New Roman" w:eastAsia="仿宋_GB2312" w:cs="Times New Roman"/>
          <w:sz w:val="32"/>
          <w:szCs w:val="32"/>
        </w:rPr>
        <w:t>现将落实情况总结如下：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eastAsia="黑体"/>
          <w:sz w:val="32"/>
          <w:szCs w:val="32"/>
          <w:lang w:val="en-US" w:eastAsia="zh-CN"/>
        </w:rPr>
        <w:t>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2022年以来，我局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通过建立健全一系列政务公开工作的相关制度，为政务公开的准确性、权威性、完整性和时效性提供了制度保障，严格执行政策解读制度，切实做到政策性文件与解读方案、解读材料同步组织、同步部署。按照有关要求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2022年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区退役军人事务局及时将解读材料在部门网站政策解读专栏发布，并做好政策文件的相互链接。围绕建设法治政府全面推进政务公开工作。我局始终把握公开透明的基本要求，坚持以公开为常态、不公开为例外原则。截至2022年12月31日，我局信息公开网站主动公开信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58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条。一是决策公开方面，发布政府重大决策征集及反馈信息１条，收到意见１条，采用0条；发布本局计划方案1条。二是重点领域公开方面，发布政策解读１条、财政资金1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条、人事任免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条、通知公告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条、重点工作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条、政务动态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28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本年度我局无依申请公开情况。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（三）政府信息管理情况</w:t>
      </w:r>
    </w:p>
    <w:p>
      <w:pPr>
        <w:pStyle w:val="7"/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 w:bidi="ar"/>
        </w:rPr>
        <w:t>建立以分管领导统筹抓、各科室具体落实的政务公开工作机制，形成了决策、指导和操作三个层面有机结合的工作模式。在规定时间内做好公开工作，特别是政务动态、公告公示等群众较为关注栏目的更新，确保信息传达及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（四）政府信息公开平台建设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宁波市奉化区人民政府（http://www.fh.gov.cn/col/col1229165283/index.html）是我局信息公开的主要平台，同时我局还通过《奉化日报》、“掌上奉化APP”等媒介及时公开政务信息，用心用情做好退役军人事务工作的宣传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确保我局信息传达及时。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（五）监督保障情况。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56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  <w:lang w:val="en-US" w:eastAsia="zh-CN"/>
        </w:rPr>
        <w:t>在网站公布监督电话和咨询电话，及时回应群众关切和疑问。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我局政府信息公开工作取得一定成效，但是也存在一些不足：一是负责信息公开的人员更换频繁，人员业务培训有待加强；二是信息公开的深度和广度有待加强，需进一步增加政务动态、业务信息、政策解读等方面信息的数量和质量；三是信息公开宣传力度有待加强，仍需进一步拓宽信息公开渠道。下一步，我局将在以下几个方面重点优化政府信息公开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1.强化队伍建设，提高业务能力。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加强业务培训，重点学习相关法律法规、文件、易错问题、信息编辑等知识，提高政务公开业务人员理论和业务水平。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CESI仿宋-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2.丰富公开内容，提升信息质量。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依托线上媒体等渠道，持续深入组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织开展形式多样的宣传活动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擦亮奉邑老兵品牌，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升信息质量。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3.拓宽公开渠道，增强服务能力。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进一步加强与主流新闻媒体的合作，广泛开展宣传，扩大新闻内容覆盖面，增强信息的社会传播力。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未发生需要收取政府信息公开处理费的办件，故未收取政府信息公开处理费。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A636F"/>
    <w:rsid w:val="06F167DD"/>
    <w:rsid w:val="15110BF7"/>
    <w:rsid w:val="22AF6334"/>
    <w:rsid w:val="25FF063C"/>
    <w:rsid w:val="371B5CFE"/>
    <w:rsid w:val="414D5D4A"/>
    <w:rsid w:val="4AFF467E"/>
    <w:rsid w:val="663D3C1E"/>
    <w:rsid w:val="744A636F"/>
    <w:rsid w:val="74FE0F7B"/>
    <w:rsid w:val="8BD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2022-01-04T13:44:00Z</dcterms:created>
  <dc:creator>ZL</dc:creator>
  <cp:lastModifiedBy>八岁打球会crossover</cp:lastModifiedBy>
  <dcterms:modified xsi:type="dcterms:W3CDTF">2023-01-11T07:37:49Z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