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宁波市生态环境局奉化分局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政府信息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val="en-US" w:eastAsia="zh-CN"/>
        </w:rPr>
        <w:t>（一）切实抓好主动公开。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我分局围绕建设项目审批、污染防治攻坚、“无废城市”建设等重点工作，在政府信息公开平台主动公开政府信息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974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条，主动公开政策性文件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条，规范性文件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条。其中，建设项目审批信息公开379条；每月公开地表水水质监测报表，已发布12条；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企业监控监测数据公开35条；“无废城市”建设动态信息33条。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（二）及时完成依申请公开。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我分局收到依申请公开数为1件,属主动公开1件，已按程序及时处理完毕。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（三）精准强化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val="en-US" w:eastAsia="zh-CN"/>
        </w:rPr>
        <w:t>政府信息管理。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细化公开分类，有效提高信息公开的准确度。开设了公示公告、最新动态、政务动态、公共企事业环境保护、环保重大民生项目、行政处罚结果公示、行政许可结果公示、建设项目环评报告审批批复等方便用户精准查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5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（四）创新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val="en-US" w:eastAsia="zh-CN"/>
        </w:rPr>
        <w:t>政府信息公开平台建设。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eastAsia="zh-CN"/>
        </w:rPr>
        <w:t>为进一步扩大政务信息受众面，在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局机关大厅、监测站大厅及行政审批中心环保窗口3处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eastAsia="zh-CN"/>
        </w:rPr>
        <w:t>设政务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信息公开线下场所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宁波市奉化区政府信息公开网站线上平台。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eastAsia="zh-CN"/>
        </w:rPr>
        <w:t>专门运维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工程建设领域项目信息公开和信用信息、12369网络举报平台、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“宁波市生态环境局奉化分局”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微信公众号等专栏。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同时，创新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开展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“聚焦生态环境.奉化议事厅”，已累计开展32期，2068家企业和21.1万名群众参与。2021年“生态环境议事厅”经验做法获《中国改革报》报道。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val="en-US" w:eastAsia="zh-CN"/>
        </w:rPr>
        <w:t>（五）切实加强监督保障。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实行局长委托分管领导牵头负责制，各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单位）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主要负责人是本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科室（单位）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政府信息公开工作的第一责任人，分管领导具体负责抓专项工作，安排局办公室、法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、生态科、污管科、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审批科、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执法队、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监测站等科室（单位）专人承办具体信息发布工作，落实网管员作为信息发布的操作员，从而形成“一级抓一级，层层抓落实”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工作格局，使政务公开工作在领导机构、工作人员和办公设备等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方面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都得到了保障。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471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 w:asciiTheme="minorHAnsi" w:hAnsiTheme="minorHAnsi" w:eastAsiaTheme="minorEastAsia" w:cstheme="minorBidi"/>
          <w:b w:val="0"/>
          <w:sz w:val="21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default" w:asciiTheme="minorHAnsi" w:hAnsiTheme="minorHAnsi" w:eastAsiaTheme="minorEastAsia" w:cstheme="minorBidi"/>
          <w:sz w:val="21"/>
          <w:szCs w:val="2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eastAsia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eastAsia="黑体"/>
          <w:b w:val="0"/>
          <w:bCs w:val="0"/>
          <w:sz w:val="32"/>
          <w:szCs w:val="32"/>
          <w:highlight w:val="none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黑体" w:eastAsia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eastAsia="黑体"/>
          <w:b w:val="0"/>
          <w:bCs w:val="0"/>
          <w:sz w:val="32"/>
          <w:szCs w:val="32"/>
          <w:highlight w:val="none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2021年，区生态环境局信息公开工作取得了一定的成效，但对照新时代政务公开新要求，仍存在一些不足，主要是主动公开工作谋划有待加强，对信息公开的形势和工作要求的认识需要加强。2022年，将进一步做好以下工作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（一）加强学习培训，增强主动公开意识。严格落实“以公开为常态、不公开为例外”的工作要求，不断提高分局系统干部职工信息公开的规范意识和能力水平。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二）加强政策文件发布和解读工作。对本部门的行政规范性文件、重要政策文件和其他重要信息，要及时梳理和发布。同时落实政策解读与政策文件“三同步”制度，开展多种形式和渠道政策解读工作，增强对政策文件的实质性解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（三）以数字化转型为契机，整合拓展公开渠道。积极拓展新的信息公开形式，结合数字化建设工作开展整合，进一步提高政务公开信息化水平。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/>
        <w:textAlignment w:val="auto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  <w:lang w:eastAsia="zh-CN"/>
        </w:rPr>
        <w:t>六、</w:t>
      </w:r>
      <w:r>
        <w:rPr>
          <w:rFonts w:hint="eastAsia" w:ascii="黑体" w:eastAsia="黑体"/>
          <w:sz w:val="32"/>
          <w:szCs w:val="32"/>
          <w:highlight w:val="none"/>
        </w:rPr>
        <w:t>其他需要报告的</w:t>
      </w:r>
      <w:bookmarkStart w:id="0" w:name="_GoBack"/>
      <w:bookmarkEnd w:id="0"/>
      <w:r>
        <w:rPr>
          <w:rFonts w:hint="eastAsia" w:ascii="黑体" w:eastAsia="黑体"/>
          <w:sz w:val="32"/>
          <w:szCs w:val="32"/>
          <w:highlight w:val="none"/>
        </w:rPr>
        <w:t>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本年度无收费情况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宁波市生态环境局奉化分局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480" w:firstLineChars="14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2022年1月6日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2C10"/>
    <w:multiLevelType w:val="singleLevel"/>
    <w:tmpl w:val="187C2C1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F7A7F"/>
    <w:rsid w:val="00697091"/>
    <w:rsid w:val="00F9774A"/>
    <w:rsid w:val="03A1766A"/>
    <w:rsid w:val="04451D86"/>
    <w:rsid w:val="04787980"/>
    <w:rsid w:val="048359CF"/>
    <w:rsid w:val="063F2A03"/>
    <w:rsid w:val="06EB734D"/>
    <w:rsid w:val="085E48D4"/>
    <w:rsid w:val="09B93AC8"/>
    <w:rsid w:val="0E3509E8"/>
    <w:rsid w:val="0E6218C4"/>
    <w:rsid w:val="0FBB1C81"/>
    <w:rsid w:val="0FBE2E31"/>
    <w:rsid w:val="0FC2592A"/>
    <w:rsid w:val="10486C4E"/>
    <w:rsid w:val="10F64981"/>
    <w:rsid w:val="11E11C13"/>
    <w:rsid w:val="12CC6308"/>
    <w:rsid w:val="1A4F10CD"/>
    <w:rsid w:val="1C1B2BC0"/>
    <w:rsid w:val="1C9F7A7F"/>
    <w:rsid w:val="1D040F62"/>
    <w:rsid w:val="1D4E7663"/>
    <w:rsid w:val="20336AC5"/>
    <w:rsid w:val="228123FC"/>
    <w:rsid w:val="22B11658"/>
    <w:rsid w:val="245C63ED"/>
    <w:rsid w:val="267C10F4"/>
    <w:rsid w:val="271A356C"/>
    <w:rsid w:val="299008D8"/>
    <w:rsid w:val="2BB764CA"/>
    <w:rsid w:val="2DA95101"/>
    <w:rsid w:val="2E3D01B6"/>
    <w:rsid w:val="2E995A2A"/>
    <w:rsid w:val="2F14154C"/>
    <w:rsid w:val="2F383D62"/>
    <w:rsid w:val="2F5B3D54"/>
    <w:rsid w:val="30C263B6"/>
    <w:rsid w:val="31737D1C"/>
    <w:rsid w:val="32B9047C"/>
    <w:rsid w:val="34577892"/>
    <w:rsid w:val="34D35463"/>
    <w:rsid w:val="35261A91"/>
    <w:rsid w:val="359A74F6"/>
    <w:rsid w:val="36CC11F4"/>
    <w:rsid w:val="36F85C13"/>
    <w:rsid w:val="38D13761"/>
    <w:rsid w:val="39D0685C"/>
    <w:rsid w:val="39F767EB"/>
    <w:rsid w:val="3A5847FE"/>
    <w:rsid w:val="3C250B37"/>
    <w:rsid w:val="3D706E5B"/>
    <w:rsid w:val="3E4D7707"/>
    <w:rsid w:val="402B148D"/>
    <w:rsid w:val="40D066C9"/>
    <w:rsid w:val="40D53C36"/>
    <w:rsid w:val="41D66D87"/>
    <w:rsid w:val="41F10EB9"/>
    <w:rsid w:val="425D68AD"/>
    <w:rsid w:val="43957B31"/>
    <w:rsid w:val="467C5107"/>
    <w:rsid w:val="472A0B32"/>
    <w:rsid w:val="47E35D0F"/>
    <w:rsid w:val="49105F76"/>
    <w:rsid w:val="49DE05EE"/>
    <w:rsid w:val="4AEB6DC7"/>
    <w:rsid w:val="4BCA6632"/>
    <w:rsid w:val="51B0208A"/>
    <w:rsid w:val="54116038"/>
    <w:rsid w:val="54300323"/>
    <w:rsid w:val="54490AAB"/>
    <w:rsid w:val="55C46205"/>
    <w:rsid w:val="56F30829"/>
    <w:rsid w:val="59900253"/>
    <w:rsid w:val="5BCB201D"/>
    <w:rsid w:val="5E0D00A0"/>
    <w:rsid w:val="5ECC3B05"/>
    <w:rsid w:val="61800BCC"/>
    <w:rsid w:val="620019A5"/>
    <w:rsid w:val="625B2195"/>
    <w:rsid w:val="64191F67"/>
    <w:rsid w:val="65086B2F"/>
    <w:rsid w:val="69233089"/>
    <w:rsid w:val="6A21763F"/>
    <w:rsid w:val="6B126EFA"/>
    <w:rsid w:val="6B8529FA"/>
    <w:rsid w:val="6D8C1781"/>
    <w:rsid w:val="6E8B455A"/>
    <w:rsid w:val="70273903"/>
    <w:rsid w:val="716355B0"/>
    <w:rsid w:val="741E64B1"/>
    <w:rsid w:val="744A79A9"/>
    <w:rsid w:val="74EB045E"/>
    <w:rsid w:val="763F04F4"/>
    <w:rsid w:val="76976386"/>
    <w:rsid w:val="77C02078"/>
    <w:rsid w:val="78174189"/>
    <w:rsid w:val="7D11598B"/>
    <w:rsid w:val="7F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2020-11-30T07:31:00Z</dcterms:created>
  <dc:creator>Administrator</dc:creator>
  <cp:lastModifiedBy>Administrator</cp:lastModifiedBy>
  <dcterms:modified xsi:type="dcterms:W3CDTF">2024-01-08T06:42:13Z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