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江口街道园中村改造安置</w:t>
      </w:r>
      <w:bookmarkStart w:id="0" w:name="_GoBack"/>
      <w:bookmarkEnd w:id="0"/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房建设工程（一期）定标候选人公示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一、项目基本信息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1、工程名称：江口街道园中村改造安置房建设工程（一期） 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2、交易登记号：E3302830000000605001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3、建设（招标）单位：宁波三丰置业有限公司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4、代理单位：中冠工程管理咨询有限公司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5、项目规模：本项目总用地面积约15719 平方米，总建筑面积约68046平方米，最大高度为79.95米。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6、招标范围：施工图范围内的土建、水电安装及附属配套等工程施工总承包（具体以工程量清单及施工图为准）。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7、项目总投资：约27707万元。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8、招标控制价：19663.92万元。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9、开标日期：2020年8月6日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10、公示时间：2020年8月7日至2020年8月9日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11、资格审查方式：资格后审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12、评标办法：定性评审法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评标情况：根据招标文件评标及定标细则，经评委评审，确定浙江二十冶建设有限公司、宁波家和兴建设有限公司、舜元建设（集团）有限公司、宁波华康陆鼎建设有限公司、宁波市泰鑫建设工程有限公司、宁波剡江建设工程有限公司、华锦建设集团股份有限公司（以上顺序不分先后）共7家单位进入定标程序。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三、定标时间及地点：2020年8月10日09：00时在宁波市奉化区公共资源交易中心（大成东路277号裙楼4层评标室一）组织定标，并邀请入围定标程序的7家单位的法定代表人（或其授权委托人）随带本人身份证准时参加，授权委托人的还需提供授权委托书。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投标人若未派上述人员出席定标活动，视为该投标人默认其定标结果。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公示期间社会各界如有异议或投诉可通过以下方式反映：</w:t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Courier New" w:hAnsi="Courier New" w:cs="Courier New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宁波市奉化区住房和城乡建设局：0574-89294320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662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2022-05-05T12:22:44Z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BA802DD1EEB8495390B9ABD1B589BE6A</vt:lpwstr>
  </property>
</Properties>
</file>