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30"/>
          <w:szCs w:val="30"/>
        </w:rPr>
      </w:pPr>
    </w:p>
    <w:p>
      <w:pPr>
        <w:widowControl/>
        <w:jc w:val="center"/>
        <w:rPr>
          <w:rFonts w:ascii="宋体" w:hAnsi="宋体" w:eastAsia="宋体"/>
          <w:b/>
          <w:bCs/>
          <w:sz w:val="44"/>
          <w:szCs w:val="48"/>
        </w:rPr>
      </w:pPr>
    </w:p>
    <w:p>
      <w:pPr>
        <w:widowControl/>
        <w:rPr>
          <w:rFonts w:ascii="宋体" w:hAnsi="宋体" w:eastAsia="宋体"/>
          <w:b/>
          <w:bCs/>
          <w:sz w:val="44"/>
          <w:szCs w:val="48"/>
        </w:rPr>
      </w:pPr>
    </w:p>
    <w:p>
      <w:pPr>
        <w:widowControl/>
        <w:jc w:val="center"/>
        <w:rPr>
          <w:rFonts w:ascii="宋体" w:hAnsi="宋体" w:eastAsia="宋体"/>
          <w:b/>
          <w:bCs/>
          <w:sz w:val="48"/>
          <w:szCs w:val="52"/>
        </w:rPr>
      </w:pPr>
      <w:r>
        <w:rPr>
          <w:rFonts w:hint="eastAsia" w:ascii="宋体" w:hAnsi="宋体" w:eastAsia="宋体"/>
          <w:b/>
          <w:bCs/>
          <w:sz w:val="48"/>
          <w:szCs w:val="52"/>
        </w:rPr>
        <w:t>宁波市奉化区地名地址数据服务</w:t>
      </w:r>
    </w:p>
    <w:p>
      <w:pPr>
        <w:widowControl/>
        <w:jc w:val="center"/>
        <w:rPr>
          <w:rFonts w:ascii="宋体" w:hAnsi="宋体" w:eastAsia="宋体"/>
          <w:b/>
          <w:bCs/>
          <w:sz w:val="48"/>
          <w:szCs w:val="52"/>
        </w:rPr>
      </w:pPr>
      <w:r>
        <w:rPr>
          <w:rFonts w:hint="eastAsia" w:ascii="宋体" w:hAnsi="宋体" w:eastAsia="宋体"/>
          <w:b/>
          <w:bCs/>
          <w:sz w:val="48"/>
          <w:szCs w:val="52"/>
        </w:rPr>
        <w:t>工作规范(试行）</w:t>
      </w:r>
    </w:p>
    <w:p>
      <w:pPr>
        <w:widowControl/>
        <w:jc w:val="center"/>
        <w:rPr>
          <w:rFonts w:ascii="宋体" w:hAnsi="宋体" w:eastAsia="宋体"/>
          <w:b/>
          <w:bCs/>
          <w:sz w:val="48"/>
          <w:szCs w:val="52"/>
        </w:rPr>
      </w:pPr>
      <w:bookmarkStart w:id="0" w:name="_GoBack"/>
      <w:bookmarkEnd w:id="0"/>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44"/>
          <w:szCs w:val="48"/>
        </w:rPr>
      </w:pPr>
    </w:p>
    <w:p>
      <w:pPr>
        <w:widowControl/>
        <w:jc w:val="center"/>
        <w:rPr>
          <w:rFonts w:ascii="宋体" w:hAnsi="宋体" w:eastAsia="宋体"/>
          <w:b/>
          <w:bCs/>
          <w:sz w:val="32"/>
          <w:szCs w:val="36"/>
        </w:rPr>
      </w:pPr>
      <w:r>
        <w:rPr>
          <w:rFonts w:hint="eastAsia" w:ascii="宋体" w:hAnsi="宋体" w:eastAsia="宋体"/>
          <w:b/>
          <w:bCs/>
          <w:sz w:val="32"/>
          <w:szCs w:val="36"/>
        </w:rPr>
        <w:t>宁波市奉化区民政局</w:t>
      </w:r>
    </w:p>
    <w:p>
      <w:pPr>
        <w:widowControl/>
        <w:jc w:val="center"/>
        <w:rPr>
          <w:rFonts w:ascii="宋体" w:hAnsi="宋体" w:eastAsia="宋体"/>
          <w:b/>
          <w:bCs/>
          <w:sz w:val="32"/>
          <w:szCs w:val="36"/>
        </w:rPr>
        <w:sectPr>
          <w:headerReference r:id="rId3" w:type="first"/>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ascii="宋体" w:hAnsi="宋体" w:eastAsia="宋体"/>
          <w:b/>
          <w:bCs/>
          <w:sz w:val="32"/>
          <w:szCs w:val="36"/>
        </w:rPr>
        <w:t>2022年9月</w:t>
      </w:r>
    </w:p>
    <w:p>
      <w:pPr>
        <w:pStyle w:val="2"/>
        <w:jc w:val="center"/>
        <w:rPr>
          <w:rFonts w:ascii="宋体" w:hAnsi="宋体" w:eastAsia="宋体"/>
          <w:sz w:val="21"/>
          <w:szCs w:val="22"/>
        </w:rPr>
      </w:pPr>
      <w:r>
        <w:rPr>
          <w:rFonts w:hint="eastAsia" w:ascii="宋体" w:hAnsi="宋体" w:eastAsia="宋体"/>
        </w:rPr>
        <w:t>第一章 总则</w:t>
      </w:r>
    </w:p>
    <w:p>
      <w:pPr>
        <w:pStyle w:val="12"/>
        <w:numPr>
          <w:ilvl w:val="0"/>
          <w:numId w:val="1"/>
        </w:numPr>
        <w:ind w:hanging="221" w:firstLineChars="0"/>
        <w:rPr>
          <w:rFonts w:ascii="宋体" w:hAnsi="宋体" w:eastAsia="宋体"/>
          <w:sz w:val="28"/>
          <w:szCs w:val="28"/>
        </w:rPr>
      </w:pPr>
      <w:r>
        <w:rPr>
          <w:rFonts w:ascii="宋体" w:hAnsi="宋体" w:eastAsia="宋体"/>
          <w:sz w:val="28"/>
          <w:szCs w:val="28"/>
        </w:rPr>
        <w:t>适用</w:t>
      </w:r>
      <w:r>
        <w:rPr>
          <w:rFonts w:hint="eastAsia" w:ascii="宋体" w:hAnsi="宋体" w:eastAsia="宋体"/>
          <w:sz w:val="28"/>
          <w:szCs w:val="28"/>
        </w:rPr>
        <w:t>范围</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为加强本区地名地址管理，进一步明确地名命名、更名、销名职能及地址数据产生、流转、消亡规程，根据上级有关规定，结合本区实际情况，特制定本规范。</w:t>
      </w:r>
    </w:p>
    <w:p>
      <w:pPr>
        <w:widowControl/>
        <w:snapToGrid w:val="0"/>
        <w:spacing w:line="360" w:lineRule="auto"/>
        <w:ind w:firstLine="560" w:firstLineChars="200"/>
        <w:rPr>
          <w:rFonts w:ascii="宋体" w:hAnsi="宋体" w:eastAsia="宋体" w:cs="宋体"/>
          <w:kern w:val="0"/>
          <w:sz w:val="28"/>
          <w:szCs w:val="28"/>
        </w:rPr>
      </w:pPr>
      <w:r>
        <w:rPr>
          <w:rFonts w:hint="eastAsia" w:ascii="宋体" w:hAnsi="宋体" w:eastAsia="宋体"/>
          <w:sz w:val="28"/>
          <w:szCs w:val="28"/>
        </w:rPr>
        <w:t>本规范所指的地名地址数据包括</w:t>
      </w:r>
      <w:r>
        <w:rPr>
          <w:rFonts w:hint="eastAsia" w:ascii="宋体" w:hAnsi="宋体" w:eastAsia="宋体" w:cs="宋体"/>
          <w:kern w:val="0"/>
          <w:sz w:val="28"/>
          <w:szCs w:val="28"/>
        </w:rPr>
        <w:t>相关部门依法批准的</w:t>
      </w:r>
      <w:r>
        <w:rPr>
          <w:rFonts w:ascii="宋体" w:hAnsi="宋体" w:eastAsia="宋体" w:cs="宋体"/>
          <w:kern w:val="0"/>
          <w:sz w:val="28"/>
          <w:szCs w:val="28"/>
          <w:lang w:val="en"/>
        </w:rPr>
        <w:t>标准</w:t>
      </w:r>
      <w:r>
        <w:rPr>
          <w:rFonts w:hint="eastAsia" w:ascii="宋体" w:hAnsi="宋体" w:eastAsia="宋体" w:cs="宋体"/>
          <w:kern w:val="0"/>
          <w:sz w:val="28"/>
          <w:szCs w:val="28"/>
        </w:rPr>
        <w:t>地名数据和民政部门依法编制的地址数据,</w:t>
      </w:r>
      <w:r>
        <w:rPr>
          <w:rFonts w:ascii="宋体" w:hAnsi="宋体" w:eastAsia="宋体" w:cs="宋体"/>
          <w:kern w:val="0"/>
          <w:sz w:val="28"/>
          <w:szCs w:val="28"/>
        </w:rPr>
        <w:t>同时包括存量的、有关部门纳入管理的全量地名地址。</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本规范适用于民政部门、党政部门与地名地址相关的管理活动、信息化建设和应用。</w:t>
      </w:r>
    </w:p>
    <w:p>
      <w:pPr>
        <w:pStyle w:val="12"/>
        <w:numPr>
          <w:ilvl w:val="0"/>
          <w:numId w:val="1"/>
        </w:numPr>
        <w:ind w:left="567" w:hanging="79" w:firstLineChars="0"/>
        <w:rPr>
          <w:rFonts w:ascii="宋体" w:hAnsi="宋体" w:eastAsia="宋体"/>
          <w:sz w:val="28"/>
          <w:szCs w:val="28"/>
        </w:rPr>
      </w:pPr>
      <w:r>
        <w:rPr>
          <w:rFonts w:hint="eastAsia" w:ascii="宋体" w:hAnsi="宋体" w:eastAsia="宋体"/>
          <w:sz w:val="28"/>
          <w:szCs w:val="28"/>
        </w:rPr>
        <w:t>规范性引用文件</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《地名管理条例》（国务院令第753号）</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《国务院关于加强数字政府建设的指导意见》（国发〔2022〕14号）</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《宁波市地名管理条例》（浙人大常〔2020〕6号）</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《基础地理信息要素分类与代码》 （GB/T 13923-2006）</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《地名分类与类别代码编制规则》 （GB/T18521-2001）</w:t>
      </w:r>
    </w:p>
    <w:p>
      <w:pPr>
        <w:snapToGrid w:val="0"/>
        <w:spacing w:line="360" w:lineRule="auto"/>
        <w:ind w:left="424" w:leftChars="202" w:firstLine="2"/>
        <w:rPr>
          <w:rFonts w:ascii="宋体" w:hAnsi="宋体" w:eastAsia="宋体"/>
          <w:sz w:val="28"/>
          <w:szCs w:val="28"/>
        </w:rPr>
      </w:pPr>
      <w:r>
        <w:rPr>
          <w:rFonts w:ascii="宋体" w:hAnsi="宋体" w:eastAsia="宋体"/>
          <w:sz w:val="28"/>
          <w:szCs w:val="28"/>
        </w:rPr>
        <w:t>《</w:t>
      </w:r>
      <w:r>
        <w:rPr>
          <w:rFonts w:hint="eastAsia" w:ascii="宋体" w:hAnsi="宋体" w:eastAsia="宋体"/>
          <w:sz w:val="28"/>
          <w:szCs w:val="28"/>
        </w:rPr>
        <w:t>浙江省</w:t>
      </w:r>
      <w:r>
        <w:rPr>
          <w:rFonts w:ascii="宋体" w:hAnsi="宋体" w:eastAsia="宋体"/>
          <w:sz w:val="28"/>
          <w:szCs w:val="28"/>
        </w:rPr>
        <w:t>公共数据管理条例》</w:t>
      </w:r>
      <w:r>
        <w:rPr>
          <w:rFonts w:hint="eastAsia" w:ascii="宋体" w:hAnsi="宋体" w:eastAsia="宋体"/>
          <w:sz w:val="28"/>
          <w:szCs w:val="28"/>
        </w:rPr>
        <w:t>(浙人大常〔2022〕第3号）</w:t>
      </w:r>
    </w:p>
    <w:p>
      <w:pPr>
        <w:snapToGrid w:val="0"/>
        <w:spacing w:line="360" w:lineRule="auto"/>
        <w:ind w:left="424" w:leftChars="202" w:firstLine="2"/>
        <w:rPr>
          <w:rFonts w:ascii="宋体" w:hAnsi="宋体" w:eastAsia="宋体"/>
          <w:sz w:val="28"/>
          <w:szCs w:val="28"/>
        </w:rPr>
      </w:pPr>
      <w:r>
        <w:rPr>
          <w:rFonts w:hint="eastAsia" w:ascii="宋体" w:hAnsi="宋体" w:eastAsia="宋体"/>
          <w:sz w:val="28"/>
          <w:szCs w:val="28"/>
        </w:rPr>
        <w:t>《宁波市民政领域公共数据管理办法》（甬民发〔</w:t>
      </w:r>
      <w:r>
        <w:rPr>
          <w:rFonts w:ascii="宋体" w:hAnsi="宋体" w:eastAsia="宋体"/>
          <w:sz w:val="28"/>
          <w:szCs w:val="28"/>
        </w:rPr>
        <w:t>2022〕67号）</w:t>
      </w:r>
    </w:p>
    <w:p>
      <w:pPr>
        <w:pStyle w:val="12"/>
        <w:numPr>
          <w:ilvl w:val="0"/>
          <w:numId w:val="1"/>
        </w:numPr>
        <w:ind w:left="567" w:leftChars="270" w:firstLine="0" w:firstLineChars="0"/>
        <w:rPr>
          <w:rFonts w:ascii="宋体" w:hAnsi="宋体" w:eastAsia="宋体"/>
          <w:sz w:val="28"/>
          <w:szCs w:val="28"/>
        </w:rPr>
      </w:pPr>
      <w:r>
        <w:rPr>
          <w:rFonts w:hint="eastAsia" w:ascii="宋体" w:hAnsi="宋体" w:eastAsia="宋体"/>
          <w:sz w:val="28"/>
          <w:szCs w:val="28"/>
        </w:rPr>
        <w:t>术语与定义</w:t>
      </w:r>
    </w:p>
    <w:p>
      <w:pPr>
        <w:pStyle w:val="12"/>
        <w:ind w:firstLine="560"/>
        <w:rPr>
          <w:rFonts w:ascii="宋体" w:hAnsi="宋体" w:eastAsia="宋体"/>
          <w:sz w:val="28"/>
          <w:szCs w:val="28"/>
        </w:rPr>
      </w:pPr>
      <w:r>
        <w:rPr>
          <w:rFonts w:hint="eastAsia" w:ascii="宋体" w:hAnsi="宋体" w:eastAsia="宋体"/>
          <w:sz w:val="28"/>
          <w:szCs w:val="28"/>
        </w:rPr>
        <w:t>1、标准地名：经人民政府或相关主管部门依法批准并经民政部门发布或公告的</w:t>
      </w:r>
      <w:r>
        <w:rPr>
          <w:rFonts w:ascii="宋体" w:hAnsi="宋体" w:eastAsia="宋体"/>
          <w:sz w:val="28"/>
          <w:szCs w:val="28"/>
        </w:rPr>
        <w:t>赋予某一特定空间位置上自然或人文地理实体的专有名称。</w:t>
      </w:r>
    </w:p>
    <w:p>
      <w:pPr>
        <w:pStyle w:val="12"/>
        <w:ind w:firstLine="560"/>
        <w:rPr>
          <w:rFonts w:ascii="宋体" w:hAnsi="宋体" w:eastAsia="宋体"/>
          <w:sz w:val="28"/>
          <w:szCs w:val="28"/>
        </w:rPr>
      </w:pPr>
      <w:r>
        <w:rPr>
          <w:rFonts w:hint="eastAsia" w:ascii="宋体" w:hAnsi="宋体" w:eastAsia="宋体"/>
          <w:sz w:val="28"/>
          <w:szCs w:val="28"/>
        </w:rPr>
        <w:t>2、约定俗称</w:t>
      </w:r>
      <w:r>
        <w:rPr>
          <w:rFonts w:ascii="宋体" w:hAnsi="宋体" w:eastAsia="宋体"/>
          <w:sz w:val="28"/>
          <w:szCs w:val="28"/>
        </w:rPr>
        <w:t>地名：由于历史、民俗、传统等原因</w:t>
      </w:r>
      <w:r>
        <w:rPr>
          <w:rFonts w:hint="eastAsia" w:ascii="宋体" w:hAnsi="宋体" w:eastAsia="宋体"/>
          <w:sz w:val="28"/>
          <w:szCs w:val="28"/>
        </w:rPr>
        <w:t>但</w:t>
      </w:r>
      <w:r>
        <w:rPr>
          <w:rFonts w:ascii="宋体" w:hAnsi="宋体" w:eastAsia="宋体"/>
          <w:sz w:val="28"/>
          <w:szCs w:val="28"/>
        </w:rPr>
        <w:t xml:space="preserve">未经批准、公告程序的地名； </w:t>
      </w:r>
    </w:p>
    <w:p>
      <w:pPr>
        <w:pStyle w:val="12"/>
        <w:ind w:firstLine="56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、基本区域限定物：</w:t>
      </w:r>
      <w:r>
        <w:rPr>
          <w:rFonts w:ascii="宋体" w:hAnsi="宋体" w:eastAsia="宋体"/>
          <w:sz w:val="28"/>
          <w:szCs w:val="28"/>
        </w:rPr>
        <w:t>在地址描述中</w:t>
      </w:r>
      <w:r>
        <w:rPr>
          <w:rFonts w:hint="eastAsia" w:ascii="宋体" w:hAnsi="宋体" w:eastAsia="宋体"/>
          <w:sz w:val="28"/>
          <w:szCs w:val="28"/>
        </w:rPr>
        <w:t>一般</w:t>
      </w:r>
      <w:r>
        <w:rPr>
          <w:rFonts w:ascii="宋体" w:hAnsi="宋体" w:eastAsia="宋体"/>
          <w:sz w:val="28"/>
          <w:szCs w:val="28"/>
        </w:rPr>
        <w:t>位于行政辖区之后</w:t>
      </w:r>
      <w:r>
        <w:rPr>
          <w:rFonts w:hint="eastAsia" w:ascii="宋体" w:hAnsi="宋体" w:eastAsia="宋体"/>
          <w:sz w:val="28"/>
          <w:szCs w:val="28"/>
        </w:rPr>
        <w:t>，如</w:t>
      </w:r>
      <w:r>
        <w:rPr>
          <w:rFonts w:ascii="宋体" w:hAnsi="宋体" w:eastAsia="宋体"/>
          <w:sz w:val="28"/>
          <w:szCs w:val="28"/>
        </w:rPr>
        <w:t>聚落区、住宅区、道路等层次低于政区地名的地址</w:t>
      </w:r>
      <w:r>
        <w:rPr>
          <w:rFonts w:hint="eastAsia" w:ascii="宋体" w:hAnsi="宋体" w:eastAsia="宋体"/>
          <w:sz w:val="28"/>
          <w:szCs w:val="28"/>
        </w:rPr>
        <w:t>；</w:t>
      </w:r>
    </w:p>
    <w:p>
      <w:pPr>
        <w:pStyle w:val="12"/>
        <w:ind w:firstLine="560"/>
        <w:rPr>
          <w:rFonts w:ascii="宋体" w:hAnsi="宋体" w:eastAsia="宋体"/>
          <w:sz w:val="28"/>
          <w:szCs w:val="28"/>
        </w:rPr>
      </w:pPr>
      <w:r>
        <w:rPr>
          <w:rFonts w:hint="eastAsia" w:ascii="宋体" w:hAnsi="宋体" w:eastAsia="宋体"/>
          <w:sz w:val="28"/>
          <w:szCs w:val="28"/>
        </w:rPr>
        <w:t>4、标准地址：经民政部门依法编制的地址，通常由行政区划、街路巷、村（社区）、基本区域限定物、门牌号、院门名称、楼幢号、单元号、户室号、楼层号等要素组成；</w:t>
      </w:r>
      <w:r>
        <w:rPr>
          <w:rFonts w:ascii="宋体" w:hAnsi="宋体" w:eastAsia="宋体"/>
          <w:sz w:val="28"/>
          <w:szCs w:val="28"/>
        </w:rPr>
        <w:t xml:space="preserve"> </w:t>
      </w:r>
    </w:p>
    <w:p>
      <w:pPr>
        <w:pStyle w:val="12"/>
        <w:ind w:firstLine="560"/>
        <w:rPr>
          <w:rFonts w:ascii="宋体" w:hAnsi="宋体" w:eastAsia="宋体"/>
          <w:sz w:val="28"/>
          <w:szCs w:val="28"/>
        </w:rPr>
      </w:pPr>
      <w:r>
        <w:rPr>
          <w:rFonts w:hint="eastAsia" w:ascii="宋体" w:hAnsi="宋体" w:eastAsia="宋体"/>
          <w:sz w:val="28"/>
          <w:szCs w:val="28"/>
        </w:rPr>
        <w:t>5、</w:t>
      </w:r>
      <w:r>
        <w:rPr>
          <w:rFonts w:ascii="宋体" w:hAnsi="宋体" w:eastAsia="宋体"/>
          <w:sz w:val="28"/>
          <w:szCs w:val="28"/>
        </w:rPr>
        <w:t>非标</w:t>
      </w:r>
      <w:r>
        <w:rPr>
          <w:rFonts w:hint="eastAsia" w:ascii="宋体" w:hAnsi="宋体" w:eastAsia="宋体"/>
          <w:sz w:val="28"/>
          <w:szCs w:val="28"/>
        </w:rPr>
        <w:t>准</w:t>
      </w:r>
      <w:r>
        <w:rPr>
          <w:rFonts w:ascii="宋体" w:hAnsi="宋体" w:eastAsia="宋体"/>
          <w:sz w:val="28"/>
          <w:szCs w:val="28"/>
        </w:rPr>
        <w:t>地址：已在非合法建筑设立的商事主体</w:t>
      </w:r>
      <w:r>
        <w:rPr>
          <w:rFonts w:hint="eastAsia" w:ascii="宋体" w:hAnsi="宋体" w:eastAsia="宋体"/>
          <w:sz w:val="28"/>
          <w:szCs w:val="28"/>
        </w:rPr>
        <w:t>、</w:t>
      </w:r>
      <w:r>
        <w:rPr>
          <w:rFonts w:ascii="宋体" w:hAnsi="宋体" w:eastAsia="宋体"/>
          <w:sz w:val="28"/>
          <w:szCs w:val="28"/>
        </w:rPr>
        <w:t>居住房产</w:t>
      </w:r>
      <w:r>
        <w:rPr>
          <w:rFonts w:hint="eastAsia" w:ascii="宋体" w:hAnsi="宋体" w:eastAsia="宋体"/>
          <w:sz w:val="28"/>
          <w:szCs w:val="28"/>
        </w:rPr>
        <w:t>或以约定俗称地名描述的地址</w:t>
      </w:r>
      <w:r>
        <w:rPr>
          <w:rFonts w:ascii="宋体" w:hAnsi="宋体" w:eastAsia="宋体"/>
          <w:sz w:val="28"/>
          <w:szCs w:val="28"/>
        </w:rPr>
        <w:t>；</w:t>
      </w:r>
    </w:p>
    <w:p>
      <w:pPr>
        <w:pStyle w:val="12"/>
        <w:ind w:firstLine="560"/>
        <w:rPr>
          <w:rFonts w:ascii="宋体" w:hAnsi="宋体" w:eastAsia="宋体"/>
          <w:sz w:val="28"/>
          <w:szCs w:val="28"/>
        </w:rPr>
      </w:pPr>
      <w:r>
        <w:rPr>
          <w:rFonts w:hint="eastAsia" w:ascii="宋体" w:hAnsi="宋体" w:eastAsia="宋体"/>
          <w:sz w:val="28"/>
          <w:szCs w:val="28"/>
        </w:rPr>
        <w:t>6、兴趣点POI：POI为“P</w:t>
      </w:r>
      <w:r>
        <w:rPr>
          <w:rFonts w:ascii="宋体" w:hAnsi="宋体" w:eastAsia="宋体"/>
          <w:sz w:val="28"/>
          <w:szCs w:val="28"/>
        </w:rPr>
        <w:t>oint of Interest</w:t>
      </w:r>
      <w:r>
        <w:rPr>
          <w:rFonts w:hint="eastAsia" w:ascii="宋体" w:hAnsi="宋体" w:eastAsia="宋体"/>
          <w:sz w:val="28"/>
          <w:szCs w:val="28"/>
        </w:rPr>
        <w:t>”的缩写，中文表示为“兴趣点”，可以用一个点表示为一幢建筑、一个商铺、一个公交站点等；</w:t>
      </w:r>
    </w:p>
    <w:p>
      <w:pPr>
        <w:pStyle w:val="12"/>
        <w:ind w:firstLine="560"/>
        <w:rPr>
          <w:rFonts w:ascii="宋体" w:hAnsi="宋体" w:eastAsia="宋体"/>
          <w:sz w:val="28"/>
          <w:szCs w:val="28"/>
        </w:rPr>
      </w:pPr>
      <w:r>
        <w:rPr>
          <w:rFonts w:hint="eastAsia" w:ascii="宋体" w:hAnsi="宋体" w:eastAsia="宋体"/>
          <w:sz w:val="28"/>
          <w:szCs w:val="28"/>
        </w:rPr>
        <w:t>7、兴趣面AOI：A</w:t>
      </w:r>
      <w:r>
        <w:rPr>
          <w:rFonts w:ascii="宋体" w:hAnsi="宋体" w:eastAsia="宋体"/>
          <w:sz w:val="28"/>
          <w:szCs w:val="28"/>
        </w:rPr>
        <w:t>OI</w:t>
      </w:r>
      <w:r>
        <w:rPr>
          <w:rFonts w:hint="eastAsia" w:ascii="宋体" w:hAnsi="宋体" w:eastAsia="宋体"/>
          <w:sz w:val="28"/>
          <w:szCs w:val="28"/>
        </w:rPr>
        <w:t>为“P</w:t>
      </w:r>
      <w:r>
        <w:rPr>
          <w:rFonts w:ascii="宋体" w:hAnsi="宋体" w:eastAsia="宋体"/>
          <w:sz w:val="28"/>
          <w:szCs w:val="28"/>
        </w:rPr>
        <w:t>oint of Area</w:t>
      </w:r>
      <w:r>
        <w:rPr>
          <w:rFonts w:hint="eastAsia" w:ascii="宋体" w:hAnsi="宋体" w:eastAsia="宋体"/>
          <w:sz w:val="28"/>
          <w:szCs w:val="28"/>
        </w:rPr>
        <w:t>”的缩写，中文表示为“兴趣面”，用一个面表示区域状的地理实体，如一个小区、一所大学、一个医院、一个景区等；</w:t>
      </w:r>
    </w:p>
    <w:p>
      <w:pPr>
        <w:pStyle w:val="12"/>
        <w:ind w:firstLine="560"/>
        <w:rPr>
          <w:rFonts w:ascii="宋体" w:hAnsi="宋体" w:eastAsia="宋体"/>
          <w:sz w:val="28"/>
          <w:szCs w:val="28"/>
        </w:rPr>
      </w:pPr>
      <w:r>
        <w:rPr>
          <w:rFonts w:ascii="宋体" w:hAnsi="宋体" w:eastAsia="宋体"/>
          <w:sz w:val="28"/>
          <w:szCs w:val="28"/>
        </w:rPr>
        <w:t>8</w:t>
      </w:r>
      <w:r>
        <w:rPr>
          <w:rFonts w:hint="eastAsia" w:ascii="宋体" w:hAnsi="宋体" w:eastAsia="宋体"/>
          <w:sz w:val="28"/>
          <w:szCs w:val="28"/>
        </w:rPr>
        <w:t>、空间信息服务：以服务形式提供标准地名地址的空间分布、定位及查询功能。</w:t>
      </w:r>
    </w:p>
    <w:p>
      <w:pPr>
        <w:pStyle w:val="12"/>
        <w:snapToGrid w:val="0"/>
        <w:spacing w:line="360" w:lineRule="auto"/>
        <w:ind w:left="1146" w:firstLine="0" w:firstLineChars="0"/>
        <w:rPr>
          <w:rFonts w:ascii="宋体" w:hAnsi="宋体" w:eastAsia="宋体"/>
          <w:sz w:val="28"/>
          <w:szCs w:val="28"/>
        </w:rPr>
      </w:pPr>
    </w:p>
    <w:p>
      <w:pPr>
        <w:pStyle w:val="2"/>
        <w:jc w:val="center"/>
        <w:rPr>
          <w:rFonts w:ascii="宋体" w:hAnsi="宋体" w:eastAsia="宋体"/>
          <w:sz w:val="40"/>
          <w:szCs w:val="40"/>
        </w:rPr>
      </w:pPr>
      <w:r>
        <w:rPr>
          <w:rFonts w:ascii="宋体" w:hAnsi="宋体" w:eastAsia="宋体"/>
          <w:sz w:val="40"/>
          <w:szCs w:val="40"/>
        </w:rPr>
        <w:t>第二章</w:t>
      </w:r>
      <w:r>
        <w:rPr>
          <w:rFonts w:hint="eastAsia" w:ascii="宋体" w:hAnsi="宋体" w:eastAsia="宋体"/>
          <w:sz w:val="40"/>
          <w:szCs w:val="40"/>
        </w:rPr>
        <w:t xml:space="preserve"> </w:t>
      </w:r>
      <w:r>
        <w:rPr>
          <w:rFonts w:ascii="宋体" w:hAnsi="宋体" w:eastAsia="宋体"/>
          <w:sz w:val="40"/>
          <w:szCs w:val="40"/>
        </w:rPr>
        <w:t>标准地名地址的管理</w:t>
      </w:r>
    </w:p>
    <w:p>
      <w:pPr>
        <w:snapToGrid w:val="0"/>
        <w:spacing w:line="360" w:lineRule="auto"/>
        <w:ind w:firstLine="565" w:firstLineChars="202"/>
        <w:rPr>
          <w:rFonts w:ascii="宋体" w:hAnsi="宋体" w:eastAsia="宋体"/>
          <w:sz w:val="28"/>
          <w:szCs w:val="28"/>
        </w:rPr>
      </w:pPr>
      <w:r>
        <w:rPr>
          <w:rFonts w:ascii="宋体" w:hAnsi="宋体" w:eastAsia="宋体"/>
          <w:sz w:val="28"/>
          <w:szCs w:val="28"/>
        </w:rPr>
        <w:t>第四条</w:t>
      </w:r>
      <w:r>
        <w:rPr>
          <w:rFonts w:hint="eastAsia" w:ascii="楷体" w:hAnsi="楷体" w:eastAsia="楷体"/>
          <w:sz w:val="28"/>
          <w:szCs w:val="28"/>
        </w:rPr>
        <w:t>（工作原则</w:t>
      </w:r>
      <w:r>
        <w:rPr>
          <w:rFonts w:ascii="楷体" w:hAnsi="楷体" w:eastAsia="楷体"/>
          <w:sz w:val="28"/>
          <w:szCs w:val="28"/>
        </w:rPr>
        <w:t>）</w:t>
      </w:r>
      <w:r>
        <w:rPr>
          <w:rFonts w:hint="eastAsia" w:ascii="宋体" w:hAnsi="宋体" w:eastAsia="宋体"/>
          <w:sz w:val="28"/>
          <w:szCs w:val="28"/>
        </w:rPr>
        <w:t>地名管理应当有利于维护国家主权和民族团结，有利于弘扬社会主义核心价值观，有利于推进国家治理体系和治理能力现代化，有利于传承发展中华优秀文化。管理工作坚持“政府主导、民政牵头、部门协作、社会参与”的原则。</w:t>
      </w:r>
    </w:p>
    <w:p>
      <w:pPr>
        <w:pStyle w:val="12"/>
        <w:snapToGrid w:val="0"/>
        <w:spacing w:line="360" w:lineRule="auto"/>
        <w:ind w:firstLine="560"/>
        <w:rPr>
          <w:rFonts w:ascii="宋体" w:hAnsi="宋体" w:eastAsia="宋体"/>
          <w:sz w:val="28"/>
          <w:szCs w:val="28"/>
        </w:rPr>
      </w:pPr>
      <w:r>
        <w:rPr>
          <w:rFonts w:ascii="宋体" w:hAnsi="宋体" w:eastAsia="宋体" w:cs="宋体"/>
          <w:kern w:val="0"/>
          <w:sz w:val="28"/>
          <w:szCs w:val="28"/>
        </w:rPr>
        <w:t>第五条</w:t>
      </w:r>
      <w:r>
        <w:rPr>
          <w:rFonts w:hint="eastAsia" w:ascii="宋体" w:hAnsi="宋体" w:eastAsia="宋体" w:cs="宋体"/>
          <w:kern w:val="0"/>
          <w:sz w:val="28"/>
          <w:szCs w:val="28"/>
        </w:rPr>
        <w:t xml:space="preserve"> </w:t>
      </w:r>
      <w:r>
        <w:rPr>
          <w:rFonts w:ascii="楷体" w:hAnsi="楷体" w:eastAsia="楷体"/>
          <w:sz w:val="28"/>
          <w:szCs w:val="28"/>
        </w:rPr>
        <w:t>（地名的分类与地址</w:t>
      </w:r>
      <w:r>
        <w:rPr>
          <w:rFonts w:hint="eastAsia" w:ascii="楷体" w:hAnsi="楷体" w:eastAsia="楷体"/>
          <w:sz w:val="28"/>
          <w:szCs w:val="28"/>
        </w:rPr>
        <w:t>的</w:t>
      </w:r>
      <w:r>
        <w:rPr>
          <w:rFonts w:ascii="楷体" w:hAnsi="楷体" w:eastAsia="楷体"/>
          <w:sz w:val="28"/>
          <w:szCs w:val="28"/>
        </w:rPr>
        <w:t>描述内容）</w:t>
      </w:r>
      <w:r>
        <w:rPr>
          <w:rFonts w:hint="eastAsia" w:ascii="宋体" w:hAnsi="宋体" w:eastAsia="宋体"/>
          <w:sz w:val="28"/>
          <w:szCs w:val="28"/>
        </w:rPr>
        <w:t>本规范所称的地名数据包含：</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（一）自然地理实体名称；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（二）行政区划名称；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（三）村民委员会、居民委员会所在地名称；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（四）城市公园、自然保护地名称；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（五）街路巷名称；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（六）具有重要地理方位意义的住宅区、楼宇名称；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（七）具有重要地理方位意义的交通运输、水利、电力、通信、气象等设施名称；</w:t>
      </w:r>
    </w:p>
    <w:p>
      <w:pPr>
        <w:snapToGrid w:val="0"/>
        <w:spacing w:line="360" w:lineRule="auto"/>
        <w:ind w:firstLine="565" w:firstLineChars="202"/>
        <w:rPr>
          <w:rFonts w:ascii="宋体" w:hAnsi="宋体" w:eastAsia="宋体"/>
          <w:sz w:val="28"/>
          <w:szCs w:val="28"/>
        </w:rPr>
      </w:pPr>
      <w:r>
        <w:rPr>
          <w:rFonts w:hint="eastAsia" w:ascii="宋体" w:hAnsi="宋体" w:eastAsia="宋体"/>
          <w:sz w:val="28"/>
          <w:szCs w:val="28"/>
        </w:rPr>
        <w:t>（八）具有重要地理方位意义的其他地理实体名称。</w:t>
      </w:r>
    </w:p>
    <w:p>
      <w:pPr>
        <w:widowControl/>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地名应当保持相对稳定。未经批准，任何单位和个人不得擅自决定对地名进行命名、更名。</w:t>
      </w:r>
    </w:p>
    <w:p>
      <w:pPr>
        <w:widowControl/>
        <w:snapToGrid w:val="0"/>
        <w:spacing w:line="360" w:lineRule="auto"/>
        <w:ind w:firstLine="560" w:firstLineChars="200"/>
        <w:rPr>
          <w:rFonts w:ascii="宋体" w:hAnsi="宋体" w:eastAsia="宋体" w:cs="宋体"/>
          <w:kern w:val="0"/>
          <w:sz w:val="28"/>
          <w:szCs w:val="28"/>
        </w:rPr>
      </w:pPr>
      <w:r>
        <w:rPr>
          <w:rFonts w:hint="eastAsia" w:ascii="宋体" w:hAnsi="宋体" w:eastAsia="宋体"/>
          <w:sz w:val="28"/>
          <w:szCs w:val="28"/>
        </w:rPr>
        <w:t>地址</w:t>
      </w:r>
      <w:r>
        <w:rPr>
          <w:rFonts w:ascii="宋体" w:hAnsi="宋体" w:eastAsia="宋体"/>
          <w:sz w:val="28"/>
          <w:szCs w:val="28"/>
          <w:lang w:val="en"/>
        </w:rPr>
        <w:t>包含</w:t>
      </w:r>
      <w:r>
        <w:rPr>
          <w:rFonts w:hint="eastAsia" w:ascii="宋体" w:hAnsi="宋体" w:eastAsia="宋体"/>
          <w:sz w:val="28"/>
          <w:szCs w:val="28"/>
          <w:lang w:val="en"/>
        </w:rPr>
        <w:t>单位门牌、</w:t>
      </w:r>
      <w:r>
        <w:rPr>
          <w:rFonts w:ascii="宋体" w:hAnsi="宋体" w:eastAsia="宋体"/>
          <w:sz w:val="28"/>
          <w:szCs w:val="28"/>
          <w:lang w:val="en"/>
        </w:rPr>
        <w:t>商业门牌、住宅楼幢、单元、户室、楼层等，民政部门是法定管理部门，</w:t>
      </w:r>
      <w:r>
        <w:rPr>
          <w:rFonts w:ascii="宋体" w:hAnsi="宋体" w:eastAsia="宋体"/>
          <w:sz w:val="28"/>
          <w:szCs w:val="28"/>
        </w:rPr>
        <w:t>任何单位和个人不得擅自编制。</w:t>
      </w:r>
    </w:p>
    <w:p>
      <w:pPr>
        <w:snapToGrid w:val="0"/>
        <w:spacing w:line="360" w:lineRule="auto"/>
        <w:ind w:firstLine="565" w:firstLineChars="202"/>
        <w:rPr>
          <w:rFonts w:ascii="宋体" w:hAnsi="宋体" w:eastAsia="宋体"/>
          <w:sz w:val="28"/>
          <w:szCs w:val="28"/>
        </w:rPr>
      </w:pPr>
      <w:r>
        <w:rPr>
          <w:rFonts w:ascii="宋体" w:hAnsi="宋体" w:eastAsia="宋体"/>
          <w:sz w:val="28"/>
          <w:szCs w:val="28"/>
          <w:lang w:val="en"/>
        </w:rPr>
        <w:t>第六条</w:t>
      </w:r>
      <w:r>
        <w:rPr>
          <w:rFonts w:hint="eastAsia" w:ascii="宋体" w:hAnsi="宋体" w:eastAsia="宋体"/>
          <w:sz w:val="28"/>
          <w:szCs w:val="28"/>
          <w:lang w:val="en"/>
        </w:rPr>
        <w:t xml:space="preserve"> </w:t>
      </w:r>
      <w:r>
        <w:rPr>
          <w:rFonts w:hint="eastAsia" w:ascii="楷体" w:hAnsi="楷体" w:eastAsia="楷体"/>
          <w:sz w:val="28"/>
          <w:szCs w:val="28"/>
        </w:rPr>
        <w:t>（民政、相关部门的职责）</w:t>
      </w:r>
      <w:r>
        <w:rPr>
          <w:rFonts w:hint="eastAsia" w:ascii="宋体" w:hAnsi="宋体" w:eastAsia="宋体"/>
          <w:sz w:val="28"/>
          <w:szCs w:val="28"/>
        </w:rPr>
        <w:t>民政部门负责地名工作的统一监督管理。公安、资规、住房和城乡建设、交通运输、水利、文化和旅游、市场监管、林业草原、语言文字工作、新闻出版等其他有关部门，在各自职责范围内负责相关的地名管理工作。</w:t>
      </w:r>
    </w:p>
    <w:p>
      <w:pPr>
        <w:pStyle w:val="12"/>
        <w:snapToGrid w:val="0"/>
        <w:spacing w:line="360" w:lineRule="auto"/>
        <w:ind w:firstLine="560"/>
        <w:rPr>
          <w:rFonts w:ascii="宋体" w:hAnsi="宋体" w:eastAsia="宋体"/>
          <w:sz w:val="28"/>
          <w:szCs w:val="28"/>
        </w:rPr>
      </w:pPr>
      <w:r>
        <w:rPr>
          <w:rFonts w:hint="eastAsia" w:ascii="宋体" w:hAnsi="宋体" w:eastAsia="宋体"/>
          <w:sz w:val="28"/>
          <w:szCs w:val="28"/>
        </w:rPr>
        <w:t xml:space="preserve">第七条 </w:t>
      </w:r>
      <w:r>
        <w:rPr>
          <w:rFonts w:hint="eastAsia" w:ascii="楷体" w:hAnsi="楷体" w:eastAsia="楷体"/>
          <w:sz w:val="28"/>
          <w:szCs w:val="28"/>
        </w:rPr>
        <w:t>（备案、公告）</w:t>
      </w:r>
      <w:r>
        <w:rPr>
          <w:rFonts w:hint="eastAsia" w:ascii="宋体" w:hAnsi="宋体" w:eastAsia="宋体"/>
          <w:sz w:val="28"/>
          <w:szCs w:val="28"/>
        </w:rPr>
        <w:t>经民政部门发布、公告的地名称为标准地名，其他地名可称为“兴趣点POI”或“兴趣面AOI”。</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地名命名、更名后，由批准机关自批准之日起15日内按照下列规定报送备案：</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（一）有关部门批准的地名报送区民政局备案；</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（二）区人民政府批准的地名备案材料报送宁波市人民政府备案；</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（三）区民政局批准的地名报送宁波市民政局备案；</w:t>
      </w:r>
    </w:p>
    <w:p>
      <w:pPr>
        <w:pStyle w:val="12"/>
        <w:snapToGrid w:val="0"/>
        <w:spacing w:line="360" w:lineRule="auto"/>
        <w:ind w:firstLine="560"/>
        <w:rPr>
          <w:rFonts w:ascii="宋体" w:hAnsi="宋体" w:eastAsia="宋体"/>
          <w:sz w:val="28"/>
          <w:szCs w:val="28"/>
        </w:rPr>
      </w:pPr>
      <w:r>
        <w:rPr>
          <w:rFonts w:ascii="宋体" w:hAnsi="宋体" w:eastAsia="宋体"/>
          <w:sz w:val="28"/>
          <w:szCs w:val="28"/>
        </w:rPr>
        <w:t xml:space="preserve"> </w:t>
      </w:r>
      <w:r>
        <w:rPr>
          <w:rFonts w:hint="eastAsia" w:ascii="宋体" w:hAnsi="宋体" w:eastAsia="宋体"/>
          <w:sz w:val="28"/>
          <w:szCs w:val="28"/>
        </w:rPr>
        <w:t>区人民政府或者由区民政局批准的地名，自批准之日起15日内，由区民政局向社会公告；区人民政府其他有关部门批准的地名，自按规定报送备案之日起15日内，由区民政局向社会公告。</w:t>
      </w:r>
    </w:p>
    <w:p>
      <w:pPr>
        <w:snapToGrid w:val="0"/>
        <w:spacing w:line="360" w:lineRule="auto"/>
        <w:rPr>
          <w:rFonts w:ascii="宋体" w:hAnsi="宋体" w:eastAsia="宋体"/>
          <w:sz w:val="28"/>
          <w:szCs w:val="28"/>
        </w:rPr>
      </w:pPr>
      <w:r>
        <w:rPr>
          <w:rFonts w:ascii="宋体" w:hAnsi="宋体" w:eastAsia="宋体"/>
          <w:sz w:val="28"/>
          <w:szCs w:val="28"/>
        </w:rPr>
        <w:t xml:space="preserve">    第八条 </w:t>
      </w:r>
      <w:r>
        <w:rPr>
          <w:rFonts w:ascii="楷体" w:hAnsi="楷体" w:eastAsia="楷体"/>
          <w:sz w:val="28"/>
          <w:szCs w:val="28"/>
        </w:rPr>
        <w:t>（地名使用规则）</w:t>
      </w:r>
      <w:r>
        <w:rPr>
          <w:rFonts w:hint="eastAsia" w:ascii="宋体" w:hAnsi="宋体" w:eastAsia="宋体"/>
          <w:sz w:val="28"/>
          <w:szCs w:val="28"/>
        </w:rPr>
        <w:t>下列范围内必须使用标准地名：</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（一）地名标志、交通标志、广告牌匾等标识；</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（二）通过报刊、广播、电视等新闻媒体和政府网站等公共平台发布的信息；</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（三）法律文书、身份证明、商品房预售许可证明、不动产权属证书等各类公文、证件；</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（四）辞书等工具类以及教材教辅等学习类公开出版物；</w:t>
      </w:r>
    </w:p>
    <w:p>
      <w:pPr>
        <w:snapToGrid w:val="0"/>
        <w:spacing w:line="360" w:lineRule="auto"/>
        <w:ind w:firstLine="708" w:firstLineChars="253"/>
        <w:rPr>
          <w:rFonts w:ascii="宋体" w:hAnsi="宋体" w:eastAsia="宋体"/>
          <w:sz w:val="28"/>
          <w:szCs w:val="28"/>
        </w:rPr>
      </w:pPr>
      <w:r>
        <w:rPr>
          <w:rFonts w:hint="eastAsia" w:ascii="宋体" w:hAnsi="宋体" w:eastAsia="宋体"/>
          <w:sz w:val="28"/>
          <w:szCs w:val="28"/>
        </w:rPr>
        <w:t>（五）向社会公开的地图；</w:t>
      </w:r>
    </w:p>
    <w:p>
      <w:pPr>
        <w:pStyle w:val="12"/>
        <w:numPr>
          <w:ilvl w:val="0"/>
          <w:numId w:val="2"/>
        </w:numPr>
        <w:snapToGrid w:val="0"/>
        <w:spacing w:line="360" w:lineRule="auto"/>
        <w:ind w:firstLineChars="0"/>
        <w:rPr>
          <w:rFonts w:ascii="宋体" w:hAnsi="宋体" w:eastAsia="宋体"/>
          <w:sz w:val="28"/>
          <w:szCs w:val="28"/>
        </w:rPr>
      </w:pPr>
      <w:r>
        <w:rPr>
          <w:rFonts w:hint="eastAsia" w:ascii="宋体" w:hAnsi="宋体" w:eastAsia="宋体"/>
          <w:sz w:val="28"/>
          <w:szCs w:val="28"/>
        </w:rPr>
        <w:t>法律、行政法规规定应当使用标准地名的其他情形。</w:t>
      </w:r>
    </w:p>
    <w:p>
      <w:pPr>
        <w:pStyle w:val="12"/>
        <w:snapToGrid w:val="0"/>
        <w:spacing w:line="360" w:lineRule="auto"/>
        <w:ind w:firstLine="560"/>
        <w:rPr>
          <w:rFonts w:ascii="宋体" w:hAnsi="宋体" w:eastAsia="宋体"/>
          <w:sz w:val="28"/>
          <w:szCs w:val="28"/>
        </w:rPr>
      </w:pPr>
      <w:r>
        <w:rPr>
          <w:rFonts w:hint="eastAsia" w:ascii="宋体" w:hAnsi="宋体" w:eastAsia="宋体"/>
          <w:sz w:val="28"/>
          <w:szCs w:val="28"/>
        </w:rPr>
        <w:t>民政部门和其他有关部门在监督检查中发现地名的命名、更名、使用、文化保护存在问题的，应当及时提出整改建议，下达整改通知书，依法向有关部门提出处理建议；对涉嫌违反管理规定的有关责任人员，必要时可以采取约谈措施，并向社会通报并根据《地名管理条例》有关规定予以处罚。</w:t>
      </w:r>
    </w:p>
    <w:p>
      <w:pPr>
        <w:snapToGrid w:val="0"/>
        <w:spacing w:line="360" w:lineRule="auto"/>
        <w:ind w:firstLine="560" w:firstLineChars="200"/>
        <w:rPr>
          <w:rFonts w:ascii="宋体" w:hAnsi="宋体" w:eastAsia="宋体"/>
          <w:sz w:val="28"/>
          <w:szCs w:val="28"/>
          <w:lang w:val="en"/>
        </w:rPr>
      </w:pPr>
      <w:r>
        <w:rPr>
          <w:rFonts w:hint="eastAsia" w:ascii="宋体" w:hAnsi="宋体" w:eastAsia="宋体"/>
          <w:sz w:val="28"/>
          <w:szCs w:val="28"/>
        </w:rPr>
        <w:t>第九条</w:t>
      </w:r>
      <w:r>
        <w:rPr>
          <w:rFonts w:hint="eastAsia" w:ascii="宋体" w:hAnsi="宋体" w:eastAsia="宋体" w:cs="宋体"/>
          <w:sz w:val="28"/>
          <w:szCs w:val="28"/>
        </w:rPr>
        <w:t xml:space="preserve"> </w:t>
      </w:r>
      <w:r>
        <w:rPr>
          <w:rFonts w:ascii="楷体" w:hAnsi="楷体" w:eastAsia="楷体"/>
          <w:sz w:val="28"/>
          <w:szCs w:val="28"/>
        </w:rPr>
        <w:t>(民政部门数据服务</w:t>
      </w:r>
      <w:r>
        <w:rPr>
          <w:rFonts w:hint="eastAsia" w:ascii="楷体" w:hAnsi="楷体" w:eastAsia="楷体"/>
          <w:sz w:val="28"/>
          <w:szCs w:val="28"/>
        </w:rPr>
        <w:t>)</w:t>
      </w:r>
      <w:r>
        <w:rPr>
          <w:rFonts w:hint="eastAsia" w:ascii="宋体" w:hAnsi="宋体" w:eastAsia="宋体"/>
          <w:sz w:val="28"/>
          <w:szCs w:val="28"/>
        </w:rPr>
        <w:t>区民政局负责</w:t>
      </w:r>
      <w:r>
        <w:rPr>
          <w:rFonts w:ascii="宋体" w:hAnsi="宋体" w:eastAsia="宋体"/>
          <w:sz w:val="28"/>
          <w:szCs w:val="28"/>
          <w:lang w:val="en"/>
        </w:rPr>
        <w:t>管理</w:t>
      </w:r>
      <w:r>
        <w:rPr>
          <w:rFonts w:hint="eastAsia" w:ascii="宋体" w:hAnsi="宋体" w:eastAsia="宋体"/>
          <w:sz w:val="28"/>
          <w:szCs w:val="28"/>
        </w:rPr>
        <w:t>本行政区域内地名地址数据，</w:t>
      </w:r>
      <w:r>
        <w:rPr>
          <w:rFonts w:hint="eastAsia" w:ascii="宋体" w:hAnsi="宋体" w:eastAsia="宋体" w:cs="宋体"/>
          <w:sz w:val="28"/>
          <w:szCs w:val="28"/>
        </w:rPr>
        <w:t>建立地名地址库，</w:t>
      </w:r>
      <w:r>
        <w:rPr>
          <w:rFonts w:hint="eastAsia" w:ascii="宋体" w:hAnsi="宋体" w:eastAsia="宋体"/>
          <w:sz w:val="28"/>
          <w:szCs w:val="28"/>
        </w:rPr>
        <w:t>牵头协调其他有关部门按照各自职责做好地名地址数据归集、共享、应用，</w:t>
      </w:r>
      <w:r>
        <w:rPr>
          <w:rFonts w:hint="eastAsia" w:ascii="宋体" w:hAnsi="宋体" w:eastAsia="宋体" w:cs="宋体"/>
          <w:kern w:val="0"/>
          <w:sz w:val="28"/>
          <w:szCs w:val="28"/>
        </w:rPr>
        <w:t>并</w:t>
      </w:r>
      <w:r>
        <w:rPr>
          <w:rFonts w:ascii="宋体" w:hAnsi="宋体" w:eastAsia="宋体"/>
          <w:sz w:val="28"/>
          <w:szCs w:val="28"/>
          <w:lang w:val="en"/>
        </w:rPr>
        <w:t>与其他有关</w:t>
      </w:r>
      <w:r>
        <w:rPr>
          <w:rFonts w:ascii="宋体" w:hAnsi="宋体" w:eastAsia="宋体"/>
          <w:sz w:val="28"/>
          <w:szCs w:val="28"/>
        </w:rPr>
        <w:t>部门建立地名地址数据联动更新机制，完善地名地址数据库的资料并</w:t>
      </w:r>
      <w:r>
        <w:rPr>
          <w:rFonts w:ascii="宋体" w:hAnsi="宋体" w:eastAsia="宋体"/>
          <w:sz w:val="28"/>
          <w:szCs w:val="28"/>
          <w:lang w:val="en"/>
        </w:rPr>
        <w:t>做好</w:t>
      </w:r>
      <w:r>
        <w:rPr>
          <w:rFonts w:hint="eastAsia" w:ascii="宋体" w:hAnsi="宋体" w:eastAsia="宋体"/>
          <w:sz w:val="28"/>
          <w:szCs w:val="28"/>
          <w:lang w:val="en"/>
        </w:rPr>
        <w:t>地名</w:t>
      </w:r>
      <w:r>
        <w:rPr>
          <w:rFonts w:ascii="宋体" w:hAnsi="宋体" w:eastAsia="宋体"/>
          <w:sz w:val="28"/>
          <w:szCs w:val="28"/>
          <w:lang w:val="en"/>
        </w:rPr>
        <w:t>地址数据动态归集、核查更正、实时更新等工作。</w:t>
      </w:r>
    </w:p>
    <w:p>
      <w:pPr>
        <w:widowControl/>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区民政局</w:t>
      </w:r>
      <w:r>
        <w:rPr>
          <w:rFonts w:ascii="宋体" w:hAnsi="宋体" w:eastAsia="宋体" w:cs="宋体"/>
          <w:sz w:val="28"/>
          <w:szCs w:val="28"/>
        </w:rPr>
        <w:t>为</w:t>
      </w:r>
      <w:r>
        <w:rPr>
          <w:rFonts w:hint="eastAsia" w:ascii="宋体" w:hAnsi="宋体" w:eastAsia="宋体" w:cs="宋体"/>
          <w:sz w:val="28"/>
          <w:szCs w:val="28"/>
        </w:rPr>
        <w:t>职能部门、企事业单位和社会公众提供唯一权威的地名地址信息查询和空间信息服务。</w:t>
      </w:r>
    </w:p>
    <w:p>
      <w:pPr>
        <w:pStyle w:val="5"/>
        <w:widowControl/>
        <w:shd w:val="clear" w:color="auto" w:fill="FFFFFF"/>
        <w:spacing w:beforeAutospacing="0" w:afterAutospacing="0" w:line="590" w:lineRule="exact"/>
        <w:ind w:firstLine="560" w:firstLineChars="200"/>
        <w:jc w:val="both"/>
        <w:rPr>
          <w:rFonts w:ascii="宋体" w:hAnsi="宋体" w:eastAsia="宋体" w:cs="宋体"/>
          <w:kern w:val="2"/>
          <w:sz w:val="28"/>
          <w:szCs w:val="28"/>
        </w:rPr>
      </w:pPr>
      <w:r>
        <w:rPr>
          <w:rFonts w:hint="eastAsia" w:ascii="宋体" w:hAnsi="宋体" w:eastAsia="宋体" w:cs="宋体"/>
          <w:kern w:val="2"/>
          <w:sz w:val="28"/>
          <w:szCs w:val="28"/>
        </w:rPr>
        <w:t>相关部门应使用统一的地名地址编码，规范业务流程，推进全区地名地址的统一应用。</w:t>
      </w:r>
    </w:p>
    <w:p>
      <w:pPr>
        <w:widowControl/>
        <w:spacing w:line="590" w:lineRule="exact"/>
        <w:rPr>
          <w:rFonts w:ascii="宋体" w:hAnsi="宋体" w:eastAsia="宋体"/>
          <w:sz w:val="28"/>
          <w:szCs w:val="28"/>
          <w:highlight w:val="yellow"/>
        </w:rPr>
      </w:pPr>
    </w:p>
    <w:p>
      <w:pPr>
        <w:pStyle w:val="2"/>
        <w:jc w:val="center"/>
        <w:rPr>
          <w:rFonts w:ascii="宋体" w:hAnsi="宋体" w:eastAsia="宋体"/>
          <w:sz w:val="40"/>
          <w:szCs w:val="40"/>
        </w:rPr>
      </w:pPr>
      <w:r>
        <w:rPr>
          <w:rFonts w:hint="eastAsia" w:ascii="宋体" w:hAnsi="宋体" w:eastAsia="宋体"/>
          <w:sz w:val="40"/>
          <w:szCs w:val="40"/>
        </w:rPr>
        <w:t>第三章 标准地名地址归集和申报</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 xml:space="preserve">第十条 </w:t>
      </w:r>
      <w:r>
        <w:rPr>
          <w:rFonts w:ascii="楷体" w:hAnsi="楷体" w:eastAsia="楷体" w:cstheme="minorBidi"/>
          <w:kern w:val="2"/>
          <w:sz w:val="28"/>
          <w:szCs w:val="28"/>
        </w:rPr>
        <w:t>（</w:t>
      </w:r>
      <w:r>
        <w:rPr>
          <w:rFonts w:hint="eastAsia" w:ascii="楷体" w:hAnsi="楷体" w:eastAsia="楷体" w:cstheme="minorBidi"/>
          <w:kern w:val="2"/>
          <w:sz w:val="28"/>
          <w:szCs w:val="28"/>
        </w:rPr>
        <w:t>存量、新增地名数据归集）</w:t>
      </w:r>
      <w:r>
        <w:rPr>
          <w:rFonts w:hint="eastAsia" w:ascii="宋体" w:hAnsi="宋体" w:eastAsia="宋体" w:cs="宋体"/>
          <w:sz w:val="28"/>
          <w:szCs w:val="28"/>
        </w:rPr>
        <w:t>民政部门应当充分运用第二次全国地名普查成果，建立地名数据库，包含行政区划、地名类别、罗马拼音、简称（别名、曾用名）、地图坐标（东经北纬）、地名来历、地名含义、历史沿革、地理实体描述等信息。</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新增地名命名、更名后，由批准机关15天内</w:t>
      </w:r>
      <w:r>
        <w:rPr>
          <w:rFonts w:hint="eastAsia" w:ascii="宋体" w:hAnsi="宋体" w:eastAsia="宋体" w:cs="宋体"/>
          <w:color w:val="000000" w:themeColor="text1"/>
          <w:sz w:val="28"/>
          <w:szCs w:val="28"/>
          <w14:textFill>
            <w14:solidFill>
              <w14:schemeClr w14:val="tx1"/>
            </w14:solidFill>
          </w14:textFill>
        </w:rPr>
        <w:t>根据相关规定报送</w:t>
      </w:r>
      <w:r>
        <w:rPr>
          <w:rFonts w:hint="eastAsia" w:ascii="宋体" w:hAnsi="宋体" w:eastAsia="宋体" w:cs="宋体"/>
          <w:sz w:val="28"/>
          <w:szCs w:val="28"/>
        </w:rPr>
        <w:t>备案并由区民政局作出公告，将</w:t>
      </w:r>
      <w:r>
        <w:rPr>
          <w:rFonts w:hint="eastAsia" w:ascii="宋体" w:hAnsi="宋体" w:eastAsia="宋体" w:cs="楷体_GB2312"/>
          <w:sz w:val="28"/>
          <w:szCs w:val="28"/>
        </w:rPr>
        <w:t>新增地名信息数据</w:t>
      </w:r>
      <w:r>
        <w:rPr>
          <w:rFonts w:hint="eastAsia" w:ascii="宋体" w:hAnsi="宋体" w:eastAsia="宋体" w:cs="宋体"/>
          <w:sz w:val="28"/>
          <w:szCs w:val="28"/>
        </w:rPr>
        <w:t>归集至浙江省区划地名业务系统平台并同时录入地名数据库。</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ascii="宋体" w:hAnsi="宋体" w:eastAsia="宋体" w:cs="宋体"/>
          <w:sz w:val="28"/>
          <w:szCs w:val="28"/>
        </w:rPr>
        <w:t>第</w:t>
      </w:r>
      <w:r>
        <w:rPr>
          <w:rFonts w:hint="eastAsia" w:ascii="宋体" w:hAnsi="宋体" w:eastAsia="宋体" w:cs="宋体"/>
          <w:sz w:val="28"/>
          <w:szCs w:val="28"/>
        </w:rPr>
        <w:t>十一</w:t>
      </w:r>
      <w:r>
        <w:rPr>
          <w:rFonts w:ascii="宋体" w:hAnsi="宋体" w:eastAsia="宋体" w:cs="宋体"/>
          <w:sz w:val="28"/>
          <w:szCs w:val="28"/>
        </w:rPr>
        <w:t>条</w:t>
      </w:r>
      <w:r>
        <w:rPr>
          <w:rFonts w:hint="eastAsia" w:ascii="宋体" w:hAnsi="宋体" w:eastAsia="宋体" w:cs="宋体"/>
          <w:sz w:val="28"/>
          <w:szCs w:val="28"/>
        </w:rPr>
        <w:t xml:space="preserve"> </w:t>
      </w:r>
      <w:r>
        <w:rPr>
          <w:rFonts w:hint="eastAsia" w:ascii="楷体" w:hAnsi="楷体" w:eastAsia="楷体" w:cstheme="minorBidi"/>
          <w:kern w:val="2"/>
          <w:sz w:val="28"/>
          <w:szCs w:val="28"/>
        </w:rPr>
        <w:t>（存量、新增地址数据归集）</w:t>
      </w:r>
      <w:r>
        <w:rPr>
          <w:rFonts w:hint="eastAsia" w:ascii="宋体" w:hAnsi="宋体" w:eastAsia="宋体" w:cs="楷体_GB2312"/>
          <w:sz w:val="28"/>
          <w:szCs w:val="28"/>
        </w:rPr>
        <w:t>区民政局</w:t>
      </w:r>
      <w:r>
        <w:rPr>
          <w:rFonts w:ascii="宋体" w:hAnsi="宋体" w:eastAsia="宋体" w:cs="宋体"/>
          <w:sz w:val="28"/>
          <w:szCs w:val="28"/>
        </w:rPr>
        <w:t>按照“因需归集、应归尽归”的原则，</w:t>
      </w:r>
      <w:r>
        <w:rPr>
          <w:rFonts w:hint="eastAsia" w:ascii="宋体" w:hAnsi="宋体" w:eastAsia="宋体" w:cs="宋体"/>
          <w:sz w:val="28"/>
          <w:szCs w:val="28"/>
        </w:rPr>
        <w:t>政法委</w:t>
      </w:r>
      <w:r>
        <w:rPr>
          <w:rFonts w:hint="eastAsia" w:ascii="宋体" w:hAnsi="宋体" w:eastAsia="宋体"/>
          <w:sz w:val="28"/>
          <w:szCs w:val="28"/>
        </w:rPr>
        <w:t>、公安</w:t>
      </w:r>
      <w:r>
        <w:rPr>
          <w:rFonts w:hint="eastAsia" w:ascii="宋体" w:hAnsi="宋体" w:eastAsia="宋体" w:cs="宋体"/>
          <w:sz w:val="28"/>
          <w:szCs w:val="28"/>
        </w:rPr>
        <w:t>、</w:t>
      </w:r>
      <w:r>
        <w:rPr>
          <w:rFonts w:hint="eastAsia" w:ascii="宋体" w:hAnsi="宋体" w:eastAsia="宋体"/>
          <w:sz w:val="28"/>
          <w:szCs w:val="28"/>
        </w:rPr>
        <w:t>资规、住建、市场监管等有关</w:t>
      </w:r>
      <w:r>
        <w:rPr>
          <w:rFonts w:hint="eastAsia" w:ascii="宋体" w:hAnsi="宋体" w:eastAsia="宋体" w:cs="宋体"/>
          <w:sz w:val="28"/>
          <w:szCs w:val="28"/>
        </w:rPr>
        <w:t>部门按法定权限、范围、程序将存量地址数据，按照统一的标准和规范，经清洗、比对后归集至地名地址库，并同步至宁波市一体化智能化公共数据平台。</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hint="eastAsia" w:ascii="宋体" w:hAnsi="宋体" w:eastAsia="宋体" w:cs="楷体_GB2312"/>
          <w:sz w:val="28"/>
          <w:szCs w:val="28"/>
        </w:rPr>
        <w:t>乡镇街道民政协管员应当在地名地址智慧协同服务系统</w:t>
      </w:r>
      <w:r>
        <w:rPr>
          <w:rFonts w:hint="eastAsia" w:ascii="宋体" w:hAnsi="宋体" w:eastAsia="宋体" w:cs="宋体"/>
          <w:sz w:val="28"/>
          <w:szCs w:val="28"/>
        </w:rPr>
        <w:t>上办理新增门牌地址手续，经</w:t>
      </w:r>
      <w:r>
        <w:rPr>
          <w:rFonts w:hint="eastAsia" w:ascii="宋体" w:hAnsi="宋体" w:eastAsia="宋体" w:cs="楷体_GB2312"/>
          <w:sz w:val="28"/>
          <w:szCs w:val="28"/>
        </w:rPr>
        <w:t>区</w:t>
      </w:r>
      <w:r>
        <w:rPr>
          <w:rFonts w:hint="eastAsia" w:ascii="宋体" w:hAnsi="宋体" w:eastAsia="宋体" w:cs="宋体"/>
          <w:sz w:val="28"/>
          <w:szCs w:val="28"/>
        </w:rPr>
        <w:t>民政局审核后，新增地址数据进入地名地址库，同时同步至宁波市“一址通”平台。</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hint="eastAsia" w:ascii="宋体" w:hAnsi="宋体" w:eastAsia="宋体" w:cs="宋体"/>
          <w:sz w:val="28"/>
          <w:szCs w:val="28"/>
        </w:rPr>
        <w:t>其他部门应当使用地名地址库数据办理相关业务，不得自行新增未经批准的门牌地址。</w:t>
      </w:r>
    </w:p>
    <w:p>
      <w:pPr>
        <w:ind w:firstLine="560" w:firstLineChars="200"/>
        <w:rPr>
          <w:rFonts w:ascii="宋体" w:hAnsi="宋体" w:eastAsia="宋体"/>
          <w:sz w:val="28"/>
          <w:szCs w:val="28"/>
        </w:rPr>
      </w:pPr>
      <w:r>
        <w:rPr>
          <w:rFonts w:hint="eastAsia" w:ascii="宋体" w:hAnsi="宋体" w:eastAsia="宋体"/>
          <w:sz w:val="28"/>
          <w:szCs w:val="28"/>
        </w:rPr>
        <w:t xml:space="preserve">第十二条 </w:t>
      </w:r>
      <w:r>
        <w:rPr>
          <w:rFonts w:hint="eastAsia" w:ascii="楷体" w:hAnsi="楷体" w:eastAsia="楷体"/>
          <w:sz w:val="28"/>
          <w:szCs w:val="28"/>
        </w:rPr>
        <w:t>（标准地址的申报途径）</w:t>
      </w:r>
      <w:r>
        <w:rPr>
          <w:rFonts w:ascii="宋体" w:hAnsi="宋体" w:eastAsia="宋体"/>
          <w:sz w:val="28"/>
          <w:szCs w:val="28"/>
        </w:rPr>
        <w:t>标准地址数据除</w:t>
      </w:r>
      <w:r>
        <w:rPr>
          <w:rFonts w:ascii="宋体" w:hAnsi="宋体" w:eastAsia="宋体"/>
          <w:color w:val="000000" w:themeColor="text1"/>
          <w:sz w:val="28"/>
          <w:szCs w:val="28"/>
          <w14:textFill>
            <w14:solidFill>
              <w14:schemeClr w14:val="tx1"/>
            </w14:solidFill>
          </w14:textFill>
        </w:rPr>
        <w:t>主</w:t>
      </w:r>
      <w:r>
        <w:rPr>
          <w:rFonts w:ascii="宋体" w:hAnsi="宋体" w:eastAsia="宋体"/>
          <w:sz w:val="28"/>
          <w:szCs w:val="28"/>
        </w:rPr>
        <w:t>城区向区行政服务中心申报外，所属镇（街道）负责做好本辖区内标准地址数据审核和向区民政局申报工作。土地开发、出让、审批部门负责做好与民政部门的信息互通工作，协同区民政局做好地址的归集工作。</w:t>
      </w:r>
    </w:p>
    <w:p>
      <w:pPr>
        <w:pStyle w:val="2"/>
        <w:jc w:val="center"/>
        <w:rPr>
          <w:rFonts w:ascii="宋体" w:hAnsi="宋体" w:eastAsia="宋体"/>
          <w:sz w:val="40"/>
          <w:szCs w:val="40"/>
        </w:rPr>
      </w:pPr>
      <w:r>
        <w:rPr>
          <w:rFonts w:ascii="宋体" w:hAnsi="宋体" w:eastAsia="宋体"/>
          <w:sz w:val="40"/>
          <w:szCs w:val="40"/>
        </w:rPr>
        <w:t>第四章</w:t>
      </w:r>
      <w:r>
        <w:rPr>
          <w:rFonts w:hint="eastAsia" w:ascii="宋体" w:hAnsi="宋体" w:eastAsia="宋体"/>
          <w:sz w:val="40"/>
          <w:szCs w:val="40"/>
        </w:rPr>
        <w:t xml:space="preserve"> </w:t>
      </w:r>
      <w:r>
        <w:rPr>
          <w:rFonts w:ascii="宋体" w:hAnsi="宋体" w:eastAsia="宋体"/>
          <w:sz w:val="40"/>
          <w:szCs w:val="40"/>
        </w:rPr>
        <w:t xml:space="preserve">  标准地址的编制和流转</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 xml:space="preserve">第十三条 </w:t>
      </w:r>
      <w:r>
        <w:rPr>
          <w:rFonts w:hint="eastAsia" w:ascii="楷体" w:hAnsi="楷体" w:eastAsia="楷体"/>
          <w:sz w:val="28"/>
          <w:szCs w:val="28"/>
        </w:rPr>
        <w:t>（开发建设中标准地址的编制程序）</w:t>
      </w:r>
      <w:r>
        <w:rPr>
          <w:rFonts w:hint="eastAsia" w:ascii="宋体" w:hAnsi="宋体" w:eastAsia="宋体"/>
          <w:sz w:val="28"/>
          <w:szCs w:val="28"/>
        </w:rPr>
        <w:t>土地出让、拆、建业务审批通过后，相关单位推送审批信息至地名地址流转服务平台。</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开发（建设）单位设计方案通过有关部门评审后，及时做好向区民政部门申请门址、楼幢、单元、户室、楼层等的编址及编号工作。</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区民政部门根据相关部门地名地址流转服务平台中推送的总平图及相关资料编址，经区民政局审核后，及时推送开发（建设）单位，同时新增地址进入地名地址库。</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测绘部门与相关机构应根据区民政局编址进行测绘和描述。</w:t>
      </w:r>
    </w:p>
    <w:p>
      <w:pPr>
        <w:snapToGrid w:val="0"/>
        <w:spacing w:line="360" w:lineRule="auto"/>
        <w:ind w:firstLine="560" w:firstLineChars="200"/>
        <w:rPr>
          <w:rFonts w:ascii="宋体" w:hAnsi="宋体" w:eastAsia="宋体"/>
          <w:sz w:val="28"/>
          <w:szCs w:val="28"/>
        </w:rPr>
      </w:pPr>
      <w:r>
        <w:rPr>
          <w:rFonts w:hint="eastAsia" w:ascii="宋体" w:hAnsi="宋体" w:eastAsia="宋体"/>
          <w:sz w:val="28"/>
          <w:szCs w:val="28"/>
        </w:rPr>
        <w:t>第十四条</w:t>
      </w:r>
      <w:r>
        <w:rPr>
          <w:rFonts w:ascii="宋体" w:hAnsi="宋体" w:eastAsia="宋体" w:cs="宋体"/>
          <w:b/>
          <w:bCs/>
          <w:sz w:val="32"/>
          <w:szCs w:val="36"/>
        </w:rPr>
        <w:t xml:space="preserve"> </w:t>
      </w:r>
      <w:r>
        <w:rPr>
          <w:rFonts w:ascii="楷体" w:hAnsi="楷体" w:eastAsia="楷体"/>
          <w:sz w:val="28"/>
          <w:szCs w:val="28"/>
        </w:rPr>
        <w:t>（标准地址的申报、救济、校核管理机制）</w:t>
      </w:r>
      <w:r>
        <w:rPr>
          <w:rFonts w:hint="eastAsia" w:ascii="宋体" w:hAnsi="宋体" w:eastAsia="宋体" w:cs="宋体"/>
          <w:sz w:val="28"/>
          <w:szCs w:val="28"/>
        </w:rPr>
        <w:t>民政部门</w:t>
      </w:r>
      <w:r>
        <w:rPr>
          <w:rFonts w:ascii="宋体" w:hAnsi="宋体" w:eastAsia="宋体" w:cs="宋体"/>
          <w:sz w:val="28"/>
          <w:szCs w:val="28"/>
        </w:rPr>
        <w:t>建立</w:t>
      </w:r>
      <w:r>
        <w:rPr>
          <w:rFonts w:hint="eastAsia" w:ascii="宋体" w:hAnsi="宋体" w:eastAsia="宋体" w:cs="宋体"/>
          <w:sz w:val="28"/>
          <w:szCs w:val="28"/>
        </w:rPr>
        <w:t>地名地址</w:t>
      </w:r>
      <w:r>
        <w:rPr>
          <w:rFonts w:ascii="宋体" w:hAnsi="宋体" w:eastAsia="宋体" w:cs="宋体"/>
          <w:sz w:val="28"/>
          <w:szCs w:val="28"/>
        </w:rPr>
        <w:t>问题数据的“发现、反馈、修正、共享”闭环管理机制。</w:t>
      </w:r>
      <w:r>
        <w:rPr>
          <w:rFonts w:ascii="宋体" w:hAnsi="宋体" w:eastAsia="宋体"/>
          <w:sz w:val="28"/>
          <w:szCs w:val="28"/>
        </w:rPr>
        <w:t>标准</w:t>
      </w:r>
      <w:r>
        <w:rPr>
          <w:rFonts w:hint="eastAsia" w:ascii="宋体" w:hAnsi="宋体" w:eastAsia="宋体"/>
          <w:sz w:val="28"/>
          <w:szCs w:val="28"/>
        </w:rPr>
        <w:t>地址数据在使用过程中，因地址拆分、整合、存疑、问题数据或地名地址数据库中不存在的地址，地址应用部门工作人员或自然人、法人或者非法人组织</w:t>
      </w:r>
      <w:r>
        <w:rPr>
          <w:rFonts w:hint="eastAsia" w:ascii="宋体" w:hAnsi="宋体" w:eastAsia="宋体"/>
          <w:color w:val="000000" w:themeColor="text1"/>
          <w:sz w:val="28"/>
          <w:szCs w:val="28"/>
          <w14:textFill>
            <w14:solidFill>
              <w14:schemeClr w14:val="tx1"/>
            </w14:solidFill>
          </w14:textFill>
        </w:rPr>
        <w:t>可以</w:t>
      </w:r>
      <w:r>
        <w:rPr>
          <w:rFonts w:hint="eastAsia" w:ascii="宋体" w:hAnsi="宋体" w:eastAsia="宋体"/>
          <w:sz w:val="28"/>
          <w:szCs w:val="28"/>
        </w:rPr>
        <w:t>启动申报、校核、编制流程。地址应用部门工作人员或自然人、法人或者非法人组织通过重新申报或工作台的特定的救济服务程序向区民政局发送待核查地址信息，区民政局工作人员收到核查信息后，通知该地址对应的镇（街道）地名协管员，由镇（街道）地名协管员通知对应的网格员在规定时间内进行现场核查。网格员现场核查并拍照后上传信息逐级反馈上报至区民政局进行审批，区民政局应把申报、校核处理结果及时告知当事人，标准地址进入地址数据库。</w:t>
      </w:r>
    </w:p>
    <w:p>
      <w:pPr>
        <w:snapToGrid w:val="0"/>
        <w:spacing w:line="360" w:lineRule="auto"/>
        <w:rPr>
          <w:rFonts w:ascii="宋体" w:hAnsi="宋体" w:eastAsia="宋体"/>
          <w:sz w:val="28"/>
          <w:szCs w:val="28"/>
        </w:rPr>
      </w:pPr>
    </w:p>
    <w:p>
      <w:pPr>
        <w:pStyle w:val="2"/>
        <w:jc w:val="center"/>
        <w:rPr>
          <w:rFonts w:ascii="宋体" w:hAnsi="宋体" w:eastAsia="宋体"/>
          <w:sz w:val="40"/>
          <w:szCs w:val="40"/>
        </w:rPr>
      </w:pPr>
      <w:r>
        <w:rPr>
          <w:rFonts w:hint="eastAsia" w:ascii="宋体" w:hAnsi="宋体" w:eastAsia="宋体"/>
          <w:sz w:val="40"/>
          <w:szCs w:val="40"/>
        </w:rPr>
        <w:t>第五章　标准地名地址数据共享</w:t>
      </w:r>
    </w:p>
    <w:p>
      <w:pPr>
        <w:pStyle w:val="5"/>
        <w:widowControl/>
        <w:shd w:val="clear" w:color="auto" w:fill="FFFFFF"/>
        <w:spacing w:beforeAutospacing="0" w:afterAutospacing="0" w:line="590" w:lineRule="exact"/>
        <w:ind w:firstLine="562" w:firstLineChars="200"/>
        <w:jc w:val="both"/>
        <w:rPr>
          <w:rFonts w:ascii="宋体" w:hAnsi="宋体" w:eastAsia="宋体" w:cs="宋体"/>
          <w:sz w:val="28"/>
          <w:szCs w:val="28"/>
        </w:rPr>
      </w:pPr>
      <w:r>
        <w:rPr>
          <w:rFonts w:ascii="宋体" w:hAnsi="宋体" w:eastAsia="宋体" w:cs="宋体"/>
          <w:b/>
          <w:bCs/>
          <w:sz w:val="28"/>
          <w:szCs w:val="28"/>
        </w:rPr>
        <w:t>第十</w:t>
      </w:r>
      <w:r>
        <w:rPr>
          <w:rFonts w:hint="eastAsia" w:ascii="宋体" w:hAnsi="宋体" w:eastAsia="宋体" w:cs="宋体"/>
          <w:b/>
          <w:bCs/>
          <w:sz w:val="28"/>
          <w:szCs w:val="28"/>
        </w:rPr>
        <w:t>五</w:t>
      </w:r>
      <w:r>
        <w:rPr>
          <w:rFonts w:ascii="宋体" w:hAnsi="宋体" w:eastAsia="宋体" w:cs="宋体"/>
          <w:b/>
          <w:bCs/>
          <w:sz w:val="28"/>
          <w:szCs w:val="28"/>
        </w:rPr>
        <w:t>条</w:t>
      </w:r>
      <w:r>
        <w:rPr>
          <w:rFonts w:ascii="宋体" w:hAnsi="宋体" w:eastAsia="宋体" w:cs="宋体"/>
          <w:sz w:val="28"/>
          <w:szCs w:val="28"/>
        </w:rPr>
        <w:t xml:space="preserve"> </w:t>
      </w:r>
      <w:r>
        <w:rPr>
          <w:rFonts w:ascii="楷体" w:hAnsi="楷体" w:eastAsia="楷体" w:cstheme="minorBidi"/>
          <w:kern w:val="2"/>
          <w:sz w:val="28"/>
          <w:szCs w:val="28"/>
        </w:rPr>
        <w:t>（共享范围）</w:t>
      </w:r>
      <w:r>
        <w:rPr>
          <w:rFonts w:hint="eastAsia" w:ascii="宋体" w:hAnsi="宋体" w:eastAsia="宋体" w:cs="宋体"/>
          <w:sz w:val="28"/>
          <w:szCs w:val="28"/>
        </w:rPr>
        <w:t>除涉密地名地址信息外，区级部门通过宁波市一体化智能化公共数据平台开放通道，实现地名地址数据的无偿、无条件统一共享。</w:t>
      </w:r>
    </w:p>
    <w:p>
      <w:pPr>
        <w:pStyle w:val="5"/>
        <w:widowControl/>
        <w:shd w:val="clear" w:color="auto" w:fill="FFFFFF"/>
        <w:spacing w:beforeAutospacing="0" w:afterAutospacing="0" w:line="590" w:lineRule="exact"/>
        <w:ind w:firstLine="562" w:firstLineChars="200"/>
        <w:jc w:val="both"/>
        <w:rPr>
          <w:rFonts w:ascii="宋体" w:hAnsi="宋体" w:eastAsia="宋体" w:cs="宋体"/>
          <w:sz w:val="28"/>
          <w:szCs w:val="28"/>
        </w:rPr>
      </w:pPr>
      <w:r>
        <w:rPr>
          <w:rFonts w:ascii="宋体" w:hAnsi="宋体" w:eastAsia="宋体" w:cs="宋体"/>
          <w:b/>
          <w:bCs/>
          <w:sz w:val="28"/>
          <w:szCs w:val="28"/>
        </w:rPr>
        <w:t>第十</w:t>
      </w:r>
      <w:r>
        <w:rPr>
          <w:rFonts w:hint="eastAsia" w:ascii="宋体" w:hAnsi="宋体" w:eastAsia="宋体" w:cs="宋体"/>
          <w:b/>
          <w:bCs/>
          <w:sz w:val="28"/>
          <w:szCs w:val="28"/>
        </w:rPr>
        <w:t>六</w:t>
      </w:r>
      <w:r>
        <w:rPr>
          <w:rFonts w:ascii="宋体" w:hAnsi="宋体" w:eastAsia="宋体" w:cs="宋体"/>
          <w:b/>
          <w:bCs/>
          <w:sz w:val="28"/>
          <w:szCs w:val="28"/>
        </w:rPr>
        <w:t>条</w:t>
      </w:r>
      <w:r>
        <w:rPr>
          <w:rFonts w:ascii="宋体" w:hAnsi="宋体" w:eastAsia="宋体" w:cs="宋体"/>
          <w:sz w:val="28"/>
          <w:szCs w:val="28"/>
        </w:rPr>
        <w:t xml:space="preserve"> </w:t>
      </w:r>
      <w:r>
        <w:rPr>
          <w:rFonts w:ascii="楷体" w:hAnsi="楷体" w:eastAsia="楷体" w:cstheme="minorBidi"/>
          <w:kern w:val="2"/>
          <w:sz w:val="28"/>
          <w:szCs w:val="28"/>
        </w:rPr>
        <w:t>（共享流程）</w:t>
      </w:r>
      <w:r>
        <w:rPr>
          <w:rFonts w:hint="eastAsia" w:ascii="宋体" w:hAnsi="宋体" w:eastAsia="宋体" w:cs="宋体"/>
          <w:sz w:val="28"/>
          <w:szCs w:val="28"/>
        </w:rPr>
        <w:t>区级部门</w:t>
      </w:r>
      <w:r>
        <w:rPr>
          <w:rFonts w:ascii="宋体" w:hAnsi="宋体" w:eastAsia="宋体" w:cs="宋体"/>
          <w:sz w:val="28"/>
          <w:szCs w:val="28"/>
        </w:rPr>
        <w:t>因履职需要共享</w:t>
      </w:r>
      <w:r>
        <w:rPr>
          <w:rFonts w:hint="eastAsia" w:ascii="宋体" w:hAnsi="宋体" w:eastAsia="宋体" w:cs="宋体"/>
          <w:sz w:val="28"/>
          <w:szCs w:val="28"/>
        </w:rPr>
        <w:t>地名地址</w:t>
      </w:r>
      <w:r>
        <w:rPr>
          <w:rFonts w:ascii="宋体" w:hAnsi="宋体" w:eastAsia="宋体" w:cs="宋体"/>
          <w:sz w:val="28"/>
          <w:szCs w:val="28"/>
        </w:rPr>
        <w:t>数据的，向</w:t>
      </w:r>
      <w:r>
        <w:rPr>
          <w:rFonts w:hint="eastAsia" w:ascii="宋体" w:hAnsi="宋体" w:eastAsia="宋体" w:cs="宋体"/>
          <w:sz w:val="28"/>
          <w:szCs w:val="28"/>
        </w:rPr>
        <w:t>区大数据中心</w:t>
      </w:r>
      <w:r>
        <w:rPr>
          <w:rFonts w:ascii="宋体" w:hAnsi="宋体" w:eastAsia="宋体" w:cs="宋体"/>
          <w:sz w:val="28"/>
          <w:szCs w:val="28"/>
        </w:rPr>
        <w:t>提出申请，申请时应提供详细的业务流程、应用场景等资料；经</w:t>
      </w:r>
      <w:r>
        <w:rPr>
          <w:rFonts w:hint="eastAsia" w:ascii="宋体" w:hAnsi="宋体" w:eastAsia="宋体" w:cs="宋体"/>
          <w:sz w:val="28"/>
          <w:szCs w:val="28"/>
        </w:rPr>
        <w:t>区大数据中心、区民政局</w:t>
      </w:r>
      <w:r>
        <w:rPr>
          <w:rFonts w:ascii="宋体" w:hAnsi="宋体" w:eastAsia="宋体" w:cs="宋体"/>
          <w:sz w:val="28"/>
          <w:szCs w:val="28"/>
        </w:rPr>
        <w:t>审核，开通相应访问权限，通过宁波</w:t>
      </w:r>
      <w:r>
        <w:rPr>
          <w:rFonts w:hint="eastAsia" w:ascii="宋体" w:hAnsi="宋体" w:eastAsia="宋体" w:cs="宋体"/>
          <w:sz w:val="28"/>
          <w:szCs w:val="28"/>
        </w:rPr>
        <w:t>市一体化智能化公共数据</w:t>
      </w:r>
      <w:r>
        <w:rPr>
          <w:rFonts w:ascii="宋体" w:hAnsi="宋体" w:eastAsia="宋体" w:cs="宋体"/>
          <w:sz w:val="28"/>
          <w:szCs w:val="28"/>
        </w:rPr>
        <w:t>平台共享通道以接口获取</w:t>
      </w:r>
      <w:r>
        <w:rPr>
          <w:rFonts w:hint="eastAsia" w:ascii="宋体" w:hAnsi="宋体" w:eastAsia="宋体" w:cs="宋体"/>
          <w:sz w:val="28"/>
          <w:szCs w:val="28"/>
        </w:rPr>
        <w:t>地名地址</w:t>
      </w:r>
      <w:r>
        <w:rPr>
          <w:rFonts w:ascii="宋体" w:hAnsi="宋体" w:eastAsia="宋体" w:cs="宋体"/>
          <w:sz w:val="28"/>
          <w:szCs w:val="28"/>
        </w:rPr>
        <w:t>数据。</w:t>
      </w:r>
    </w:p>
    <w:p>
      <w:pPr>
        <w:pStyle w:val="14"/>
        <w:spacing w:line="590" w:lineRule="exact"/>
        <w:ind w:firstLine="562" w:firstLineChars="200"/>
        <w:jc w:val="both"/>
        <w:rPr>
          <w:rFonts w:ascii="宋体" w:hAnsi="宋体" w:eastAsia="宋体" w:cs="宋体"/>
          <w:sz w:val="28"/>
          <w:szCs w:val="28"/>
        </w:rPr>
      </w:pPr>
      <w:r>
        <w:rPr>
          <w:rFonts w:ascii="宋体" w:hAnsi="宋体" w:eastAsia="宋体" w:cs="宋体"/>
          <w:b/>
          <w:bCs/>
          <w:sz w:val="28"/>
          <w:szCs w:val="28"/>
        </w:rPr>
        <w:t>第</w:t>
      </w:r>
      <w:r>
        <w:rPr>
          <w:rFonts w:hint="eastAsia" w:ascii="宋体" w:hAnsi="宋体" w:eastAsia="宋体" w:cs="宋体"/>
          <w:b/>
          <w:bCs/>
          <w:sz w:val="28"/>
          <w:szCs w:val="28"/>
        </w:rPr>
        <w:t>十七</w:t>
      </w:r>
      <w:r>
        <w:rPr>
          <w:rFonts w:ascii="宋体" w:hAnsi="宋体" w:eastAsia="宋体" w:cs="宋体"/>
          <w:b/>
          <w:bCs/>
          <w:sz w:val="28"/>
          <w:szCs w:val="28"/>
        </w:rPr>
        <w:t>条</w:t>
      </w:r>
      <w:r>
        <w:rPr>
          <w:rFonts w:ascii="宋体" w:hAnsi="宋体" w:eastAsia="宋体" w:cs="宋体"/>
          <w:sz w:val="28"/>
          <w:szCs w:val="28"/>
        </w:rPr>
        <w:t xml:space="preserve"> </w:t>
      </w:r>
      <w:r>
        <w:rPr>
          <w:rFonts w:ascii="楷体" w:hAnsi="楷体" w:eastAsia="楷体" w:cstheme="minorBidi"/>
          <w:sz w:val="28"/>
          <w:szCs w:val="28"/>
        </w:rPr>
        <w:t>（共享职责）</w:t>
      </w:r>
      <w:r>
        <w:rPr>
          <w:rFonts w:hint="eastAsia" w:ascii="宋体" w:hAnsi="宋体" w:eastAsia="宋体" w:cs="宋体"/>
          <w:sz w:val="28"/>
          <w:szCs w:val="28"/>
        </w:rPr>
        <w:t>职能部门</w:t>
      </w:r>
      <w:r>
        <w:rPr>
          <w:rFonts w:ascii="宋体" w:hAnsi="宋体" w:eastAsia="宋体" w:cs="宋体"/>
          <w:sz w:val="28"/>
          <w:szCs w:val="28"/>
        </w:rPr>
        <w:t>使用通过共享获取的</w:t>
      </w:r>
      <w:r>
        <w:rPr>
          <w:rFonts w:hint="eastAsia" w:ascii="宋体" w:hAnsi="宋体" w:eastAsia="宋体" w:cs="宋体"/>
          <w:sz w:val="28"/>
          <w:szCs w:val="28"/>
        </w:rPr>
        <w:t>地名地址</w:t>
      </w:r>
      <w:r>
        <w:rPr>
          <w:rFonts w:ascii="宋体" w:hAnsi="宋体" w:eastAsia="宋体" w:cs="宋体"/>
          <w:sz w:val="28"/>
          <w:szCs w:val="28"/>
        </w:rPr>
        <w:t>数据，应当用于本部门依法履行职责的需要，</w:t>
      </w:r>
      <w:r>
        <w:rPr>
          <w:rFonts w:hint="eastAsia" w:ascii="宋体" w:hAnsi="宋体" w:eastAsia="宋体" w:cs="宋体"/>
          <w:sz w:val="28"/>
          <w:szCs w:val="28"/>
        </w:rPr>
        <w:t>除主动公开的，其他内容</w:t>
      </w:r>
      <w:r>
        <w:rPr>
          <w:rFonts w:ascii="宋体" w:hAnsi="宋体" w:eastAsia="宋体" w:cs="宋体"/>
          <w:sz w:val="28"/>
          <w:szCs w:val="28"/>
        </w:rPr>
        <w:t>不得以任何形式提供给第三方，也不得用于或者变相用于其他目的。</w:t>
      </w:r>
    </w:p>
    <w:p>
      <w:pPr>
        <w:pStyle w:val="5"/>
        <w:widowControl/>
        <w:shd w:val="clear" w:color="auto" w:fill="FFFFFF"/>
        <w:spacing w:beforeAutospacing="0" w:afterAutospacing="0" w:line="590" w:lineRule="exact"/>
        <w:ind w:firstLine="560" w:firstLineChars="200"/>
        <w:jc w:val="both"/>
        <w:rPr>
          <w:rFonts w:ascii="宋体" w:hAnsi="宋体" w:eastAsia="宋体"/>
          <w:sz w:val="28"/>
          <w:szCs w:val="28"/>
        </w:rPr>
      </w:pPr>
      <w:r>
        <w:rPr>
          <w:rFonts w:ascii="宋体" w:hAnsi="宋体" w:eastAsia="宋体"/>
          <w:sz w:val="28"/>
          <w:szCs w:val="28"/>
        </w:rPr>
        <w:t>第十</w:t>
      </w:r>
      <w:r>
        <w:rPr>
          <w:rFonts w:hint="eastAsia" w:ascii="宋体" w:hAnsi="宋体" w:eastAsia="宋体"/>
          <w:sz w:val="28"/>
          <w:szCs w:val="28"/>
        </w:rPr>
        <w:t>八</w:t>
      </w:r>
      <w:r>
        <w:rPr>
          <w:rFonts w:ascii="宋体" w:hAnsi="宋体" w:eastAsia="宋体"/>
          <w:sz w:val="28"/>
          <w:szCs w:val="28"/>
        </w:rPr>
        <w:t>条</w:t>
      </w:r>
      <w:r>
        <w:rPr>
          <w:rFonts w:hint="eastAsia" w:ascii="宋体" w:hAnsi="宋体" w:eastAsia="宋体"/>
          <w:sz w:val="28"/>
          <w:szCs w:val="28"/>
        </w:rPr>
        <w:t xml:space="preserve"> </w:t>
      </w:r>
      <w:r>
        <w:rPr>
          <w:rFonts w:hint="eastAsia" w:ascii="楷体" w:hAnsi="楷体" w:eastAsia="楷体" w:cstheme="minorBidi"/>
          <w:kern w:val="2"/>
          <w:sz w:val="28"/>
          <w:szCs w:val="28"/>
        </w:rPr>
        <w:t>（数据库质量提升）</w:t>
      </w:r>
      <w:r>
        <w:rPr>
          <w:rFonts w:ascii="宋体" w:hAnsi="宋体" w:eastAsia="宋体"/>
          <w:sz w:val="28"/>
          <w:szCs w:val="28"/>
        </w:rPr>
        <w:t>区民政局应当建立健全数据全流程质量管控体系，加强地名地址数据质量的监督检查，及时更新已变更、失效数据，保证数据的及时性、准确性、完整性。</w:t>
      </w:r>
    </w:p>
    <w:p>
      <w:pPr>
        <w:pStyle w:val="5"/>
        <w:widowControl/>
        <w:shd w:val="clear" w:color="auto" w:fill="FFFFFF"/>
        <w:spacing w:beforeAutospacing="0" w:afterAutospacing="0" w:line="590" w:lineRule="exact"/>
        <w:ind w:firstLine="560" w:firstLineChars="200"/>
        <w:jc w:val="both"/>
        <w:rPr>
          <w:rFonts w:ascii="宋体" w:hAnsi="宋体" w:eastAsia="宋体" w:cs="宋体"/>
          <w:kern w:val="2"/>
          <w:sz w:val="28"/>
          <w:szCs w:val="28"/>
        </w:rPr>
      </w:pPr>
      <w:r>
        <w:rPr>
          <w:rFonts w:hint="eastAsia" w:ascii="宋体" w:hAnsi="宋体" w:eastAsia="宋体"/>
          <w:sz w:val="28"/>
          <w:szCs w:val="28"/>
        </w:rPr>
        <w:t>第</w:t>
      </w:r>
      <w:r>
        <w:rPr>
          <w:rFonts w:ascii="宋体" w:hAnsi="宋体" w:eastAsia="宋体"/>
          <w:sz w:val="28"/>
          <w:szCs w:val="28"/>
        </w:rPr>
        <w:t>十</w:t>
      </w:r>
      <w:r>
        <w:rPr>
          <w:rFonts w:hint="eastAsia" w:ascii="宋体" w:hAnsi="宋体" w:eastAsia="宋体"/>
          <w:sz w:val="28"/>
          <w:szCs w:val="28"/>
        </w:rPr>
        <w:t xml:space="preserve">九条 </w:t>
      </w:r>
      <w:r>
        <w:rPr>
          <w:rFonts w:hint="eastAsia" w:ascii="楷体" w:hAnsi="楷体" w:eastAsia="楷体" w:cstheme="minorBidi"/>
          <w:kern w:val="2"/>
          <w:sz w:val="28"/>
          <w:szCs w:val="28"/>
        </w:rPr>
        <w:t>（民政在地名地址应用上的拓展）</w:t>
      </w:r>
      <w:r>
        <w:rPr>
          <w:rFonts w:hint="eastAsia" w:ascii="宋体" w:hAnsi="宋体" w:eastAsia="宋体" w:cs="楷体_GB2312"/>
          <w:sz w:val="28"/>
          <w:szCs w:val="28"/>
        </w:rPr>
        <w:t>区民政局应</w:t>
      </w:r>
      <w:r>
        <w:rPr>
          <w:rFonts w:hint="eastAsia" w:ascii="宋体" w:hAnsi="宋体" w:eastAsia="宋体" w:cs="宋体"/>
          <w:kern w:val="2"/>
          <w:sz w:val="28"/>
          <w:szCs w:val="28"/>
        </w:rPr>
        <w:t>加大对标准地名地址数据开发应用，组织开发地名地址查询系统等地名地址公共服务产品，加强地名地址全生命周期管理，推动以数字门牌为基础的场景开发和应用，逐步形成并实现奉化区域地名地址与“人、事、物”相关联的服务和监管体系。</w:t>
      </w:r>
    </w:p>
    <w:p>
      <w:pPr>
        <w:snapToGrid w:val="0"/>
        <w:spacing w:line="360" w:lineRule="auto"/>
        <w:ind w:firstLine="560" w:firstLineChars="200"/>
        <w:rPr>
          <w:rFonts w:ascii="宋体" w:hAnsi="宋体" w:eastAsia="宋体"/>
          <w:sz w:val="28"/>
          <w:szCs w:val="28"/>
        </w:rPr>
      </w:pPr>
    </w:p>
    <w:p>
      <w:pPr>
        <w:pStyle w:val="2"/>
        <w:jc w:val="center"/>
        <w:rPr>
          <w:rFonts w:ascii="宋体" w:hAnsi="宋体" w:eastAsia="宋体"/>
          <w:sz w:val="40"/>
          <w:szCs w:val="40"/>
        </w:rPr>
      </w:pPr>
      <w:r>
        <w:rPr>
          <w:rFonts w:ascii="宋体" w:hAnsi="宋体" w:eastAsia="宋体"/>
          <w:sz w:val="40"/>
          <w:szCs w:val="40"/>
        </w:rPr>
        <w:t>第六章</w:t>
      </w:r>
      <w:r>
        <w:rPr>
          <w:rFonts w:hint="eastAsia" w:ascii="宋体" w:hAnsi="宋体" w:eastAsia="宋体"/>
          <w:sz w:val="40"/>
          <w:szCs w:val="40"/>
        </w:rPr>
        <w:t xml:space="preserve"> </w:t>
      </w:r>
      <w:r>
        <w:rPr>
          <w:rFonts w:ascii="宋体" w:hAnsi="宋体" w:eastAsia="宋体"/>
          <w:sz w:val="40"/>
          <w:szCs w:val="40"/>
        </w:rPr>
        <w:t xml:space="preserve">  标准地名地址的注销</w:t>
      </w:r>
    </w:p>
    <w:p>
      <w:pPr>
        <w:pStyle w:val="5"/>
        <w:widowControl/>
        <w:shd w:val="clear" w:color="auto" w:fill="FFFFFF"/>
        <w:spacing w:beforeAutospacing="0" w:afterAutospacing="0" w:line="590" w:lineRule="exact"/>
        <w:ind w:firstLine="562" w:firstLineChars="200"/>
        <w:jc w:val="both"/>
        <w:rPr>
          <w:rFonts w:ascii="宋体" w:hAnsi="宋体" w:eastAsia="宋体" w:cs="宋体"/>
          <w:sz w:val="28"/>
          <w:szCs w:val="28"/>
          <w:highlight w:val="yellow"/>
        </w:rPr>
      </w:pPr>
      <w:r>
        <w:rPr>
          <w:rFonts w:ascii="宋体" w:hAnsi="宋体" w:eastAsia="宋体" w:cs="宋体"/>
          <w:b/>
          <w:bCs/>
          <w:sz w:val="28"/>
          <w:szCs w:val="28"/>
        </w:rPr>
        <w:t>第</w:t>
      </w:r>
      <w:r>
        <w:rPr>
          <w:rFonts w:hint="eastAsia" w:ascii="宋体" w:hAnsi="宋体" w:eastAsia="宋体"/>
          <w:sz w:val="28"/>
          <w:szCs w:val="28"/>
        </w:rPr>
        <w:t>二十</w:t>
      </w:r>
      <w:r>
        <w:rPr>
          <w:rFonts w:ascii="宋体" w:hAnsi="宋体" w:eastAsia="宋体" w:cs="宋体"/>
          <w:b/>
          <w:bCs/>
          <w:sz w:val="28"/>
          <w:szCs w:val="28"/>
        </w:rPr>
        <w:t>条</w:t>
      </w:r>
      <w:r>
        <w:rPr>
          <w:rFonts w:hint="eastAsia" w:ascii="宋体" w:hAnsi="宋体" w:eastAsia="宋体" w:cs="宋体"/>
          <w:b/>
          <w:bCs/>
          <w:sz w:val="28"/>
          <w:szCs w:val="28"/>
        </w:rPr>
        <w:t xml:space="preserve"> </w:t>
      </w:r>
      <w:r>
        <w:rPr>
          <w:rFonts w:hint="eastAsia" w:ascii="楷体" w:hAnsi="楷体" w:eastAsia="楷体" w:cstheme="minorBidi"/>
          <w:kern w:val="2"/>
          <w:sz w:val="28"/>
          <w:szCs w:val="28"/>
        </w:rPr>
        <w:t>（地址消亡有关部门职责）</w:t>
      </w:r>
      <w:r>
        <w:rPr>
          <w:rFonts w:hint="eastAsia" w:ascii="宋体" w:hAnsi="宋体" w:eastAsia="宋体" w:cs="宋体"/>
          <w:sz w:val="28"/>
          <w:szCs w:val="28"/>
        </w:rPr>
        <w:t>因区划调整、地名更名、拆迁、改造、整合等造成地名地址变更、消亡的，相关部门及</w:t>
      </w:r>
      <w:r>
        <w:rPr>
          <w:rFonts w:hint="eastAsia" w:ascii="宋体" w:hAnsi="宋体" w:eastAsia="宋体"/>
          <w:sz w:val="28"/>
          <w:szCs w:val="28"/>
        </w:rPr>
        <w:t>自然人、法人或者非法人组织</w:t>
      </w:r>
      <w:r>
        <w:rPr>
          <w:rFonts w:hint="eastAsia" w:ascii="宋体" w:hAnsi="宋体" w:eastAsia="宋体" w:cs="宋体"/>
          <w:sz w:val="28"/>
          <w:szCs w:val="28"/>
        </w:rPr>
        <w:t>应及时反馈至民政部门做好地名地址</w:t>
      </w:r>
      <w:r>
        <w:rPr>
          <w:rFonts w:hint="eastAsia" w:ascii="宋体" w:hAnsi="宋体" w:eastAsia="宋体" w:cs="楷体_GB2312"/>
          <w:sz w:val="28"/>
          <w:szCs w:val="28"/>
        </w:rPr>
        <w:t>消亡数据处理工作</w:t>
      </w:r>
      <w:r>
        <w:rPr>
          <w:rFonts w:hint="eastAsia" w:ascii="宋体" w:hAnsi="宋体" w:eastAsia="宋体" w:cs="宋体"/>
          <w:sz w:val="28"/>
          <w:szCs w:val="28"/>
        </w:rPr>
        <w:t>，并在地名地址库中予以标识。</w:t>
      </w:r>
    </w:p>
    <w:p>
      <w:pPr>
        <w:ind w:firstLine="560" w:firstLineChars="200"/>
        <w:rPr>
          <w:rFonts w:ascii="宋体" w:hAnsi="宋体" w:eastAsia="宋体"/>
          <w:sz w:val="28"/>
          <w:szCs w:val="28"/>
        </w:rPr>
      </w:pPr>
      <w:r>
        <w:rPr>
          <w:rFonts w:hint="eastAsia" w:ascii="宋体" w:hAnsi="宋体" w:eastAsia="宋体"/>
          <w:sz w:val="28"/>
          <w:szCs w:val="28"/>
        </w:rPr>
        <w:t xml:space="preserve">第二十一条 </w:t>
      </w:r>
      <w:r>
        <w:rPr>
          <w:rFonts w:hint="eastAsia" w:ascii="楷体" w:hAnsi="楷体" w:eastAsia="楷体"/>
          <w:sz w:val="28"/>
          <w:szCs w:val="28"/>
        </w:rPr>
        <w:t>（拆迁地址消亡流程）</w:t>
      </w:r>
      <w:r>
        <w:rPr>
          <w:rFonts w:hint="eastAsia" w:ascii="宋体" w:hAnsi="宋体" w:eastAsia="宋体"/>
          <w:sz w:val="28"/>
          <w:szCs w:val="28"/>
        </w:rPr>
        <w:t>国有、集体不同土地属性拆迁时，由负责拆迁部门或被拆迁人按不同土地性质向区民政部门发送拆迁信息，区民政局将对应的门址、楼幢、单元、户室、楼层等相关地址审批后予以注销。</w:t>
      </w:r>
    </w:p>
    <w:p>
      <w:pPr>
        <w:snapToGrid w:val="0"/>
        <w:spacing w:line="360" w:lineRule="auto"/>
        <w:jc w:val="center"/>
        <w:rPr>
          <w:rFonts w:ascii="宋体" w:hAnsi="宋体" w:eastAsia="宋体"/>
          <w:sz w:val="28"/>
          <w:szCs w:val="28"/>
        </w:rPr>
      </w:pPr>
    </w:p>
    <w:p>
      <w:pPr>
        <w:pStyle w:val="2"/>
        <w:jc w:val="center"/>
        <w:rPr>
          <w:rFonts w:ascii="宋体" w:hAnsi="宋体" w:eastAsia="宋体"/>
          <w:sz w:val="40"/>
          <w:szCs w:val="40"/>
        </w:rPr>
      </w:pPr>
      <w:r>
        <w:rPr>
          <w:rFonts w:hint="eastAsia" w:ascii="宋体" w:hAnsi="宋体" w:eastAsia="宋体"/>
          <w:sz w:val="40"/>
          <w:szCs w:val="40"/>
        </w:rPr>
        <w:t>第七章 非标准地址的管理</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第二十</w:t>
      </w:r>
      <w:r>
        <w:rPr>
          <w:rFonts w:hint="eastAsia" w:ascii="宋体" w:hAnsi="宋体" w:eastAsia="宋体"/>
          <w:sz w:val="28"/>
          <w:szCs w:val="28"/>
        </w:rPr>
        <w:t>二</w:t>
      </w:r>
      <w:r>
        <w:rPr>
          <w:rFonts w:ascii="宋体" w:hAnsi="宋体" w:eastAsia="宋体"/>
          <w:sz w:val="28"/>
          <w:szCs w:val="28"/>
        </w:rPr>
        <w:t>条</w:t>
      </w:r>
      <w:r>
        <w:rPr>
          <w:rFonts w:hint="eastAsia" w:ascii="宋体" w:hAnsi="宋体" w:eastAsia="宋体"/>
          <w:sz w:val="28"/>
          <w:szCs w:val="28"/>
        </w:rPr>
        <w:t xml:space="preserve"> </w:t>
      </w:r>
      <w:r>
        <w:rPr>
          <w:rFonts w:hint="eastAsia" w:ascii="楷体" w:hAnsi="楷体" w:eastAsia="楷体"/>
          <w:sz w:val="28"/>
          <w:szCs w:val="28"/>
        </w:rPr>
        <w:t>（非标准地址定义）</w:t>
      </w:r>
      <w:r>
        <w:rPr>
          <w:rFonts w:ascii="宋体" w:hAnsi="宋体" w:eastAsia="宋体"/>
          <w:sz w:val="28"/>
          <w:szCs w:val="28"/>
        </w:rPr>
        <w:t>在土地、建筑审批与实际使用不一致、历史原因遗留的无证房产、擅自改建扩建、无建筑许可等已设立商事主体或居住房产，为了空间</w:t>
      </w:r>
      <w:r>
        <w:rPr>
          <w:rFonts w:hint="eastAsia" w:ascii="宋体" w:hAnsi="宋体" w:eastAsia="宋体"/>
          <w:sz w:val="28"/>
          <w:szCs w:val="28"/>
        </w:rPr>
        <w:t>定</w:t>
      </w:r>
      <w:r>
        <w:rPr>
          <w:rFonts w:ascii="宋体" w:hAnsi="宋体" w:eastAsia="宋体"/>
          <w:sz w:val="28"/>
          <w:szCs w:val="28"/>
        </w:rPr>
        <w:t>位、通邮、生产生活安全和人员管理、服务等需要，根据标准地址编制方法而编制的地址和设置的号牌</w:t>
      </w:r>
      <w:r>
        <w:rPr>
          <w:rFonts w:hint="eastAsia" w:ascii="宋体" w:hAnsi="宋体" w:eastAsia="宋体"/>
          <w:sz w:val="28"/>
          <w:szCs w:val="28"/>
        </w:rPr>
        <w:t>纯属管理使用、不涉及产权属性、商事主体注册及拆迁补偿等。</w:t>
      </w:r>
    </w:p>
    <w:p>
      <w:pPr>
        <w:snapToGrid w:val="0"/>
        <w:spacing w:line="360" w:lineRule="auto"/>
        <w:ind w:firstLine="560" w:firstLineChars="200"/>
        <w:rPr>
          <w:rFonts w:ascii="宋体" w:hAnsi="宋体" w:eastAsia="宋体"/>
          <w:sz w:val="28"/>
          <w:szCs w:val="28"/>
        </w:rPr>
      </w:pPr>
      <w:r>
        <w:rPr>
          <w:rFonts w:ascii="宋体" w:hAnsi="宋体" w:eastAsia="宋体"/>
          <w:sz w:val="28"/>
          <w:szCs w:val="28"/>
        </w:rPr>
        <w:t>第二十</w:t>
      </w:r>
      <w:r>
        <w:rPr>
          <w:rFonts w:hint="eastAsia" w:ascii="宋体" w:hAnsi="宋体" w:eastAsia="宋体"/>
          <w:sz w:val="28"/>
          <w:szCs w:val="28"/>
        </w:rPr>
        <w:t>三</w:t>
      </w:r>
      <w:r>
        <w:rPr>
          <w:rFonts w:ascii="宋体" w:hAnsi="宋体" w:eastAsia="宋体"/>
          <w:sz w:val="28"/>
          <w:szCs w:val="28"/>
        </w:rPr>
        <w:t>条</w:t>
      </w:r>
      <w:r>
        <w:rPr>
          <w:rFonts w:hint="eastAsia" w:ascii="宋体" w:hAnsi="宋体" w:eastAsia="宋体"/>
          <w:sz w:val="28"/>
          <w:szCs w:val="28"/>
        </w:rPr>
        <w:t xml:space="preserve"> </w:t>
      </w:r>
      <w:r>
        <w:rPr>
          <w:rFonts w:ascii="楷体" w:hAnsi="楷体" w:eastAsia="楷体"/>
          <w:sz w:val="28"/>
          <w:szCs w:val="28"/>
        </w:rPr>
        <w:t>（非标准地址的管理）</w:t>
      </w:r>
      <w:r>
        <w:rPr>
          <w:rFonts w:ascii="宋体" w:hAnsi="宋体" w:eastAsia="宋体"/>
          <w:sz w:val="28"/>
          <w:szCs w:val="28"/>
        </w:rPr>
        <w:t>非标准地址的管理参照标准地名地址归集、管理方法，在地名地址库</w:t>
      </w:r>
      <w:r>
        <w:rPr>
          <w:rFonts w:hint="eastAsia" w:ascii="宋体" w:hAnsi="宋体" w:eastAsia="宋体"/>
          <w:sz w:val="28"/>
          <w:szCs w:val="28"/>
        </w:rPr>
        <w:t>中通过</w:t>
      </w:r>
      <w:r>
        <w:rPr>
          <w:rFonts w:ascii="宋体" w:hAnsi="宋体" w:eastAsia="宋体"/>
          <w:sz w:val="28"/>
          <w:szCs w:val="28"/>
        </w:rPr>
        <w:t>标签提示。非标准地址只做存量归集、关联和管理，不作流转使用，在</w:t>
      </w:r>
      <w:r>
        <w:rPr>
          <w:rFonts w:hint="eastAsia" w:ascii="宋体" w:hAnsi="宋体" w:eastAsia="宋体" w:cs="宋体"/>
          <w:sz w:val="28"/>
          <w:szCs w:val="28"/>
        </w:rPr>
        <w:t>拆迁、改造、整合过程中逐步消亡或转化为标准地址。</w:t>
      </w:r>
    </w:p>
    <w:p>
      <w:pPr>
        <w:snapToGrid w:val="0"/>
        <w:spacing w:line="360" w:lineRule="auto"/>
        <w:rPr>
          <w:rFonts w:ascii="宋体" w:hAnsi="宋体" w:eastAsia="宋体"/>
          <w:sz w:val="28"/>
          <w:szCs w:val="28"/>
        </w:rPr>
      </w:pPr>
    </w:p>
    <w:p>
      <w:pPr>
        <w:pStyle w:val="2"/>
        <w:jc w:val="center"/>
        <w:rPr>
          <w:rFonts w:ascii="宋体" w:hAnsi="宋体" w:eastAsia="宋体"/>
          <w:sz w:val="40"/>
          <w:szCs w:val="40"/>
        </w:rPr>
      </w:pPr>
      <w:r>
        <w:rPr>
          <w:rFonts w:hint="eastAsia" w:ascii="宋体" w:hAnsi="宋体" w:eastAsia="宋体"/>
          <w:sz w:val="40"/>
          <w:szCs w:val="40"/>
        </w:rPr>
        <w:t>第八章 工作保障</w:t>
      </w:r>
    </w:p>
    <w:p>
      <w:pPr>
        <w:pStyle w:val="5"/>
        <w:widowControl/>
        <w:shd w:val="clear" w:color="auto" w:fill="FFFFFF"/>
        <w:spacing w:beforeAutospacing="0" w:afterAutospacing="0" w:line="590" w:lineRule="exact"/>
        <w:ind w:firstLine="560" w:firstLineChars="200"/>
        <w:jc w:val="both"/>
        <w:rPr>
          <w:rFonts w:ascii="宋体" w:hAnsi="宋体" w:eastAsia="宋体" w:cs="宋体"/>
          <w:sz w:val="28"/>
          <w:szCs w:val="28"/>
        </w:rPr>
      </w:pPr>
      <w:r>
        <w:rPr>
          <w:rFonts w:hint="eastAsia" w:ascii="宋体" w:hAnsi="宋体" w:eastAsia="宋体"/>
          <w:sz w:val="28"/>
          <w:szCs w:val="28"/>
        </w:rPr>
        <w:t>第二十四条</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b/>
          <w:bCs/>
          <w:sz w:val="28"/>
          <w:szCs w:val="28"/>
        </w:rPr>
        <w:t xml:space="preserve"> </w:t>
      </w:r>
      <w:r>
        <w:rPr>
          <w:rFonts w:ascii="宋体" w:hAnsi="宋体" w:eastAsia="宋体" w:cs="宋体"/>
          <w:sz w:val="28"/>
          <w:szCs w:val="28"/>
        </w:rPr>
        <w:t>区网信部门</w:t>
      </w:r>
      <w:r>
        <w:rPr>
          <w:rFonts w:hint="eastAsia" w:ascii="宋体" w:hAnsi="宋体" w:eastAsia="宋体" w:cs="宋体"/>
          <w:sz w:val="28"/>
          <w:szCs w:val="28"/>
        </w:rPr>
        <w:t>和</w:t>
      </w:r>
      <w:r>
        <w:rPr>
          <w:rFonts w:ascii="宋体" w:hAnsi="宋体" w:eastAsia="宋体" w:cs="宋体"/>
          <w:sz w:val="28"/>
          <w:szCs w:val="28"/>
        </w:rPr>
        <w:t>区大数据</w:t>
      </w:r>
      <w:r>
        <w:rPr>
          <w:rFonts w:hint="eastAsia" w:ascii="宋体" w:hAnsi="宋体" w:eastAsia="宋体" w:cs="宋体"/>
          <w:sz w:val="28"/>
          <w:szCs w:val="28"/>
        </w:rPr>
        <w:t>中心应指导督促</w:t>
      </w:r>
      <w:r>
        <w:rPr>
          <w:rFonts w:ascii="宋体" w:hAnsi="宋体" w:eastAsia="宋体" w:cs="宋体"/>
          <w:sz w:val="28"/>
          <w:szCs w:val="28"/>
        </w:rPr>
        <w:t>区</w:t>
      </w:r>
      <w:r>
        <w:rPr>
          <w:rFonts w:hint="eastAsia" w:ascii="宋体" w:hAnsi="宋体" w:eastAsia="宋体" w:cs="宋体"/>
          <w:sz w:val="28"/>
          <w:szCs w:val="28"/>
        </w:rPr>
        <w:t>民政</w:t>
      </w:r>
      <w:r>
        <w:rPr>
          <w:rFonts w:ascii="宋体" w:hAnsi="宋体" w:eastAsia="宋体" w:cs="宋体"/>
          <w:sz w:val="28"/>
          <w:szCs w:val="28"/>
        </w:rPr>
        <w:t>局加强基础设施技术防护体系建设，保障</w:t>
      </w:r>
      <w:r>
        <w:rPr>
          <w:rFonts w:hint="eastAsia" w:ascii="宋体" w:hAnsi="宋体" w:eastAsia="宋体" w:cs="宋体"/>
          <w:sz w:val="28"/>
          <w:szCs w:val="28"/>
        </w:rPr>
        <w:t>地名地址</w:t>
      </w:r>
      <w:r>
        <w:rPr>
          <w:rFonts w:ascii="宋体" w:hAnsi="宋体" w:eastAsia="宋体" w:cs="宋体"/>
          <w:sz w:val="28"/>
          <w:szCs w:val="28"/>
        </w:rPr>
        <w:t>数据资源在归集、存储、共享、开放时的安全。相关单位应建立地名地址数据使用安全制度，以免发生数据丢失、毁损、篡改</w:t>
      </w:r>
      <w:r>
        <w:rPr>
          <w:rFonts w:hint="eastAsia" w:ascii="宋体" w:hAnsi="宋体" w:eastAsia="宋体" w:cs="宋体"/>
          <w:sz w:val="28"/>
          <w:szCs w:val="28"/>
        </w:rPr>
        <w:t>、隐私泄露</w:t>
      </w:r>
      <w:r>
        <w:rPr>
          <w:rFonts w:ascii="宋体" w:hAnsi="宋体" w:eastAsia="宋体" w:cs="宋体"/>
          <w:sz w:val="28"/>
          <w:szCs w:val="28"/>
        </w:rPr>
        <w:t>等事件发生。</w:t>
      </w:r>
    </w:p>
    <w:p>
      <w:pPr>
        <w:ind w:firstLine="560" w:firstLineChars="200"/>
        <w:rPr>
          <w:rFonts w:ascii="宋体" w:hAnsi="宋体" w:eastAsia="宋体"/>
          <w:sz w:val="28"/>
          <w:szCs w:val="28"/>
        </w:rPr>
      </w:pPr>
      <w:r>
        <w:rPr>
          <w:rFonts w:ascii="宋体" w:hAnsi="宋体" w:eastAsia="宋体"/>
          <w:sz w:val="28"/>
          <w:szCs w:val="28"/>
        </w:rPr>
        <w:t>第二十</w:t>
      </w:r>
      <w:r>
        <w:rPr>
          <w:rFonts w:hint="eastAsia" w:ascii="宋体" w:hAnsi="宋体" w:eastAsia="宋体"/>
          <w:sz w:val="28"/>
          <w:szCs w:val="28"/>
        </w:rPr>
        <w:t>五</w:t>
      </w:r>
      <w:r>
        <w:rPr>
          <w:rFonts w:ascii="宋体" w:hAnsi="宋体" w:eastAsia="宋体"/>
          <w:sz w:val="28"/>
          <w:szCs w:val="28"/>
        </w:rPr>
        <w:t>条</w:t>
      </w:r>
      <w:r>
        <w:rPr>
          <w:rFonts w:hint="eastAsia" w:ascii="宋体" w:hAnsi="宋体" w:eastAsia="宋体"/>
          <w:sz w:val="28"/>
          <w:szCs w:val="28"/>
        </w:rPr>
        <w:t xml:space="preserve"> </w:t>
      </w:r>
      <w:r>
        <w:rPr>
          <w:rFonts w:ascii="宋体" w:hAnsi="宋体" w:eastAsia="宋体"/>
          <w:sz w:val="28"/>
          <w:szCs w:val="28"/>
        </w:rPr>
        <w:t xml:space="preserve"> </w:t>
      </w:r>
      <w:r>
        <w:rPr>
          <w:rFonts w:hint="eastAsia" w:ascii="宋体" w:hAnsi="宋体" w:eastAsia="宋体"/>
          <w:sz w:val="28"/>
          <w:szCs w:val="28"/>
        </w:rPr>
        <w:t>各级财政部门应在门幢牌换发、信息系统建设、地名地址信息采集维护、应用开发等方面统筹资金，落实经费保障。</w:t>
      </w:r>
    </w:p>
    <w:p>
      <w:pPr>
        <w:ind w:firstLine="560" w:firstLineChars="200"/>
        <w:rPr>
          <w:rFonts w:ascii="宋体" w:hAnsi="宋体" w:eastAsia="宋体"/>
          <w:sz w:val="28"/>
          <w:szCs w:val="28"/>
        </w:rPr>
      </w:pPr>
      <w:r>
        <w:rPr>
          <w:rFonts w:hint="eastAsia" w:ascii="宋体" w:hAnsi="宋体" w:eastAsia="宋体"/>
          <w:sz w:val="28"/>
          <w:szCs w:val="28"/>
        </w:rPr>
        <w:t xml:space="preserve">第二十六条 </w:t>
      </w:r>
      <w:r>
        <w:rPr>
          <w:rFonts w:ascii="宋体" w:hAnsi="宋体" w:eastAsia="宋体"/>
          <w:sz w:val="28"/>
          <w:szCs w:val="28"/>
        </w:rPr>
        <w:t xml:space="preserve"> </w:t>
      </w:r>
      <w:r>
        <w:rPr>
          <w:rFonts w:hint="eastAsia" w:ascii="宋体" w:hAnsi="宋体" w:eastAsia="宋体"/>
          <w:sz w:val="28"/>
          <w:szCs w:val="28"/>
        </w:rPr>
        <w:t>区工信部门应将标准地名地址资源应用作为全区信息化项目建设的基础性要求，纳入论证、审批、验收过程中。</w:t>
      </w:r>
    </w:p>
    <w:p>
      <w:pPr>
        <w:ind w:firstLine="560" w:firstLineChars="200"/>
        <w:rPr>
          <w:rFonts w:ascii="宋体" w:hAnsi="宋体" w:eastAsia="宋体"/>
          <w:sz w:val="28"/>
          <w:szCs w:val="28"/>
        </w:rPr>
      </w:pPr>
      <w:r>
        <w:rPr>
          <w:rFonts w:hint="eastAsia" w:ascii="宋体" w:hAnsi="宋体" w:eastAsia="宋体"/>
          <w:sz w:val="28"/>
          <w:szCs w:val="28"/>
        </w:rPr>
        <w:t xml:space="preserve">第二十七条 </w:t>
      </w:r>
      <w:r>
        <w:rPr>
          <w:rFonts w:ascii="宋体" w:hAnsi="宋体" w:eastAsia="宋体"/>
          <w:sz w:val="28"/>
          <w:szCs w:val="28"/>
        </w:rPr>
        <w:t xml:space="preserve"> </w:t>
      </w:r>
      <w:r>
        <w:rPr>
          <w:rFonts w:hint="eastAsia" w:ascii="宋体" w:hAnsi="宋体" w:eastAsia="宋体"/>
          <w:sz w:val="28"/>
          <w:szCs w:val="28"/>
        </w:rPr>
        <w:t>各级政府部门、企事业单位和社会团体应广泛宣传推广标准地名地址资源和门幢牌应用，充分发挥地名地址在社会治理中的基础性作用，不断提升人民群众幸福感。</w:t>
      </w:r>
    </w:p>
    <w:p>
      <w:pPr>
        <w:pStyle w:val="2"/>
        <w:jc w:val="center"/>
        <w:rPr>
          <w:rFonts w:ascii="宋体" w:hAnsi="宋体" w:eastAsia="宋体"/>
          <w:sz w:val="40"/>
          <w:szCs w:val="40"/>
        </w:rPr>
      </w:pPr>
      <w:r>
        <w:rPr>
          <w:rFonts w:hint="eastAsia" w:ascii="宋体" w:hAnsi="宋体" w:eastAsia="宋体"/>
          <w:sz w:val="40"/>
          <w:szCs w:val="40"/>
        </w:rPr>
        <w:t>第九章 附则</w:t>
      </w:r>
    </w:p>
    <w:p>
      <w:pPr>
        <w:ind w:firstLine="560" w:firstLineChars="200"/>
        <w:rPr>
          <w:rFonts w:ascii="宋体" w:hAnsi="宋体" w:eastAsia="宋体"/>
          <w:sz w:val="28"/>
          <w:szCs w:val="28"/>
        </w:rPr>
      </w:pPr>
      <w:r>
        <w:rPr>
          <w:rFonts w:hint="eastAsia" w:ascii="宋体" w:hAnsi="宋体" w:eastAsia="宋体"/>
          <w:sz w:val="28"/>
          <w:szCs w:val="28"/>
        </w:rPr>
        <w:t xml:space="preserve">第二十八条 </w:t>
      </w:r>
      <w:r>
        <w:rPr>
          <w:rFonts w:ascii="宋体" w:hAnsi="宋体" w:eastAsia="宋体"/>
          <w:sz w:val="28"/>
          <w:szCs w:val="28"/>
        </w:rPr>
        <w:t xml:space="preserve">  </w:t>
      </w:r>
      <w:r>
        <w:rPr>
          <w:rFonts w:hint="eastAsia" w:ascii="宋体" w:hAnsi="宋体" w:eastAsia="宋体"/>
          <w:sz w:val="28"/>
          <w:szCs w:val="28"/>
        </w:rPr>
        <w:t>本规范由奉化区</w:t>
      </w:r>
      <w:r>
        <w:rPr>
          <w:rFonts w:hint="eastAsia" w:ascii="宋体" w:hAnsi="宋体" w:eastAsia="宋体"/>
          <w:color w:val="000000" w:themeColor="text1"/>
          <w:sz w:val="28"/>
          <w:szCs w:val="28"/>
          <w14:textFill>
            <w14:solidFill>
              <w14:schemeClr w14:val="tx1"/>
            </w14:solidFill>
          </w14:textFill>
        </w:rPr>
        <w:t>人民政府</w:t>
      </w:r>
      <w:r>
        <w:rPr>
          <w:rFonts w:hint="eastAsia" w:ascii="宋体" w:hAnsi="宋体" w:eastAsia="宋体"/>
          <w:sz w:val="28"/>
          <w:szCs w:val="28"/>
        </w:rPr>
        <w:t>负责解释。</w:t>
      </w:r>
    </w:p>
    <w:p>
      <w:pPr>
        <w:ind w:firstLine="560" w:firstLineChars="200"/>
        <w:rPr>
          <w:rFonts w:ascii="宋体" w:hAnsi="宋体" w:eastAsia="宋体"/>
          <w:sz w:val="28"/>
          <w:szCs w:val="28"/>
        </w:rPr>
      </w:pPr>
      <w:r>
        <w:rPr>
          <w:rFonts w:hint="eastAsia" w:ascii="宋体" w:hAnsi="宋体" w:eastAsia="宋体"/>
          <w:sz w:val="28"/>
          <w:szCs w:val="28"/>
        </w:rPr>
        <w:t xml:space="preserve">第二十九条 </w:t>
      </w:r>
      <w:r>
        <w:rPr>
          <w:rFonts w:ascii="宋体" w:hAnsi="宋体" w:eastAsia="宋体"/>
          <w:sz w:val="28"/>
          <w:szCs w:val="28"/>
        </w:rPr>
        <w:t xml:space="preserve">  </w:t>
      </w:r>
      <w:r>
        <w:rPr>
          <w:rFonts w:hint="eastAsia" w:ascii="宋体" w:hAnsi="宋体" w:eastAsia="宋体"/>
          <w:sz w:val="28"/>
          <w:szCs w:val="28"/>
        </w:rPr>
        <w:t>本规范自印发之日起施行。</w:t>
      </w:r>
    </w:p>
    <w:p>
      <w:pPr>
        <w:ind w:firstLine="560" w:firstLineChars="200"/>
        <w:rPr>
          <w:rFonts w:ascii="宋体" w:hAnsi="宋体" w:eastAsia="宋体"/>
          <w:sz w:val="28"/>
          <w:szCs w:val="28"/>
        </w:rPr>
      </w:pPr>
    </w:p>
    <w:p>
      <w:pPr>
        <w:pStyle w:val="2"/>
        <w:jc w:val="center"/>
        <w:rPr>
          <w:rFonts w:ascii="宋体" w:hAnsi="宋体" w:eastAsia="宋体"/>
          <w:sz w:val="40"/>
          <w:szCs w:val="40"/>
        </w:rPr>
      </w:pPr>
      <w:r>
        <w:rPr>
          <w:rFonts w:hint="eastAsia" w:ascii="宋体" w:hAnsi="宋体" w:eastAsia="宋体"/>
          <w:sz w:val="40"/>
          <w:szCs w:val="40"/>
        </w:rPr>
        <w:t>附件：协同服务流程图示</w:t>
      </w:r>
    </w:p>
    <w:p>
      <w:pPr>
        <w:pStyle w:val="12"/>
        <w:numPr>
          <w:ilvl w:val="0"/>
          <w:numId w:val="3"/>
        </w:numPr>
        <w:ind w:firstLineChars="0"/>
        <w:rPr>
          <w:rFonts w:ascii="宋体" w:hAnsi="宋体" w:eastAsia="宋体" w:cs="宋体"/>
          <w:b/>
          <w:bCs/>
          <w:sz w:val="28"/>
          <w:szCs w:val="28"/>
        </w:rPr>
      </w:pPr>
      <w:r>
        <w:rPr>
          <w:rFonts w:hint="eastAsia" w:ascii="宋体" w:hAnsi="宋体" w:eastAsia="宋体" w:cs="宋体"/>
          <w:b/>
          <w:bCs/>
          <w:sz w:val="28"/>
          <w:szCs w:val="28"/>
        </w:rPr>
        <w:t>存量地址归集流程</w:t>
      </w:r>
    </w:p>
    <w:p>
      <w:pPr>
        <w:pStyle w:val="12"/>
        <w:ind w:left="-2" w:leftChars="-1" w:firstLine="0" w:firstLineChars="0"/>
        <w:jc w:val="center"/>
        <w:rPr>
          <w:rFonts w:ascii="宋体" w:hAnsi="宋体" w:eastAsia="宋体"/>
          <w:sz w:val="28"/>
          <w:szCs w:val="28"/>
        </w:rPr>
      </w:pPr>
      <w:r>
        <w:rPr>
          <w:rFonts w:hint="eastAsia" w:ascii="宋体" w:hAnsi="宋体" w:eastAsia="宋体"/>
          <w:sz w:val="28"/>
          <w:szCs w:val="28"/>
        </w:rPr>
        <w:drawing>
          <wp:inline distT="0" distB="0" distL="0" distR="0">
            <wp:extent cx="4298950" cy="1503045"/>
            <wp:effectExtent l="0" t="0" r="635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9064" cy="1507083"/>
                    </a:xfrm>
                    <a:prstGeom prst="rect">
                      <a:avLst/>
                    </a:prstGeom>
                  </pic:spPr>
                </pic:pic>
              </a:graphicData>
            </a:graphic>
          </wp:inline>
        </w:drawing>
      </w:r>
    </w:p>
    <w:p>
      <w:pPr>
        <w:pStyle w:val="12"/>
        <w:ind w:left="-2" w:leftChars="-1" w:firstLine="0" w:firstLineChars="0"/>
        <w:jc w:val="center"/>
        <w:rPr>
          <w:rFonts w:ascii="宋体" w:hAnsi="宋体" w:eastAsia="宋体"/>
          <w:sz w:val="22"/>
        </w:rPr>
      </w:pPr>
      <w:r>
        <w:rPr>
          <w:rFonts w:hint="eastAsia" w:ascii="宋体" w:hAnsi="宋体" w:eastAsia="宋体"/>
          <w:sz w:val="22"/>
        </w:rPr>
        <w:t>图1</w:t>
      </w:r>
      <w:r>
        <w:rPr>
          <w:rFonts w:ascii="宋体" w:hAnsi="宋体" w:eastAsia="宋体"/>
          <w:sz w:val="22"/>
        </w:rPr>
        <w:t xml:space="preserve"> </w:t>
      </w:r>
      <w:r>
        <w:rPr>
          <w:rFonts w:hint="eastAsia" w:ascii="宋体" w:hAnsi="宋体" w:eastAsia="宋体"/>
          <w:sz w:val="22"/>
        </w:rPr>
        <w:t>存量地址归集流程</w:t>
      </w:r>
    </w:p>
    <w:p>
      <w:pPr>
        <w:pStyle w:val="12"/>
        <w:ind w:left="-2" w:leftChars="-1" w:firstLine="0" w:firstLineChars="0"/>
        <w:jc w:val="center"/>
        <w:rPr>
          <w:rFonts w:ascii="宋体" w:hAnsi="宋体" w:eastAsia="宋体"/>
          <w:sz w:val="22"/>
        </w:rPr>
      </w:pPr>
    </w:p>
    <w:p>
      <w:pPr>
        <w:pStyle w:val="12"/>
        <w:numPr>
          <w:ilvl w:val="0"/>
          <w:numId w:val="3"/>
        </w:numPr>
        <w:ind w:firstLineChars="0"/>
        <w:rPr>
          <w:rFonts w:ascii="宋体" w:hAnsi="宋体" w:eastAsia="宋体" w:cs="宋体"/>
          <w:b/>
          <w:bCs/>
          <w:sz w:val="28"/>
          <w:szCs w:val="28"/>
        </w:rPr>
      </w:pPr>
      <w:r>
        <w:rPr>
          <w:rFonts w:hint="eastAsia" w:ascii="宋体" w:hAnsi="宋体" w:eastAsia="宋体" w:cs="宋体"/>
          <w:b/>
          <w:bCs/>
          <w:sz w:val="28"/>
          <w:szCs w:val="28"/>
        </w:rPr>
        <w:t>新增地址审批流程</w:t>
      </w:r>
    </w:p>
    <w:p>
      <w:pPr>
        <w:jc w:val="center"/>
        <w:rPr>
          <w:rFonts w:ascii="宋体" w:hAnsi="宋体" w:eastAsia="宋体"/>
          <w:sz w:val="28"/>
          <w:szCs w:val="28"/>
        </w:rPr>
      </w:pPr>
      <w:r>
        <w:rPr>
          <w:rFonts w:hint="eastAsia" w:ascii="宋体" w:hAnsi="宋体" w:eastAsia="宋体"/>
          <w:sz w:val="28"/>
          <w:szCs w:val="28"/>
        </w:rPr>
        <w:drawing>
          <wp:inline distT="0" distB="0" distL="0" distR="0">
            <wp:extent cx="4625975" cy="1426845"/>
            <wp:effectExtent l="0" t="0" r="317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3207" cy="1432206"/>
                    </a:xfrm>
                    <a:prstGeom prst="rect">
                      <a:avLst/>
                    </a:prstGeom>
                  </pic:spPr>
                </pic:pic>
              </a:graphicData>
            </a:graphic>
          </wp:inline>
        </w:drawing>
      </w:r>
    </w:p>
    <w:p>
      <w:pPr>
        <w:jc w:val="center"/>
        <w:rPr>
          <w:rFonts w:ascii="宋体" w:hAnsi="宋体" w:eastAsia="宋体"/>
          <w:sz w:val="22"/>
        </w:rPr>
      </w:pPr>
      <w:r>
        <w:rPr>
          <w:rFonts w:hint="eastAsia" w:ascii="宋体" w:hAnsi="宋体" w:eastAsia="宋体"/>
          <w:sz w:val="22"/>
        </w:rPr>
        <w:t>图2</w:t>
      </w:r>
      <w:r>
        <w:rPr>
          <w:rFonts w:ascii="宋体" w:hAnsi="宋体" w:eastAsia="宋体"/>
          <w:sz w:val="22"/>
        </w:rPr>
        <w:t xml:space="preserve"> </w:t>
      </w:r>
      <w:r>
        <w:rPr>
          <w:rFonts w:hint="eastAsia" w:ascii="宋体" w:hAnsi="宋体" w:eastAsia="宋体"/>
          <w:sz w:val="22"/>
        </w:rPr>
        <w:t>新增地址流程</w:t>
      </w:r>
    </w:p>
    <w:p>
      <w:pPr>
        <w:widowControl/>
        <w:jc w:val="left"/>
        <w:rPr>
          <w:rFonts w:ascii="宋体" w:hAnsi="宋体" w:eastAsia="宋体"/>
          <w:sz w:val="22"/>
        </w:rPr>
      </w:pPr>
      <w:r>
        <w:rPr>
          <w:rFonts w:ascii="宋体" w:hAnsi="宋体" w:eastAsia="宋体"/>
          <w:sz w:val="22"/>
        </w:rPr>
        <w:br w:type="page"/>
      </w:r>
    </w:p>
    <w:p>
      <w:pPr>
        <w:jc w:val="center"/>
        <w:rPr>
          <w:rFonts w:ascii="宋体" w:hAnsi="宋体" w:eastAsia="宋体"/>
          <w:sz w:val="22"/>
        </w:rPr>
      </w:pPr>
    </w:p>
    <w:p>
      <w:pPr>
        <w:pStyle w:val="12"/>
        <w:numPr>
          <w:ilvl w:val="0"/>
          <w:numId w:val="3"/>
        </w:numPr>
        <w:ind w:firstLineChars="0"/>
        <w:rPr>
          <w:rFonts w:ascii="宋体" w:hAnsi="宋体" w:eastAsia="宋体" w:cs="宋体"/>
          <w:b/>
          <w:bCs/>
          <w:sz w:val="28"/>
          <w:szCs w:val="28"/>
        </w:rPr>
      </w:pPr>
      <w:r>
        <w:rPr>
          <w:rFonts w:hint="eastAsia" w:ascii="宋体" w:hAnsi="宋体" w:eastAsia="宋体" w:cs="宋体"/>
          <w:b/>
          <w:bCs/>
          <w:sz w:val="28"/>
          <w:szCs w:val="28"/>
        </w:rPr>
        <w:t>开发建设中标准地址的编制程序</w:t>
      </w:r>
    </w:p>
    <w:p>
      <w:pPr>
        <w:jc w:val="center"/>
        <w:rPr>
          <w:rFonts w:ascii="宋体" w:hAnsi="宋体" w:eastAsia="宋体"/>
          <w:sz w:val="28"/>
          <w:szCs w:val="28"/>
        </w:rPr>
      </w:pPr>
      <w:r>
        <w:rPr>
          <w:rFonts w:ascii="宋体" w:hAnsi="宋体" w:eastAsia="宋体"/>
          <w:sz w:val="28"/>
          <w:szCs w:val="28"/>
        </w:rPr>
        <w:drawing>
          <wp:inline distT="0" distB="0" distL="0" distR="0">
            <wp:extent cx="5274310" cy="2207895"/>
            <wp:effectExtent l="0" t="0" r="254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207895"/>
                    </a:xfrm>
                    <a:prstGeom prst="rect">
                      <a:avLst/>
                    </a:prstGeom>
                  </pic:spPr>
                </pic:pic>
              </a:graphicData>
            </a:graphic>
          </wp:inline>
        </w:drawing>
      </w:r>
    </w:p>
    <w:p>
      <w:pPr>
        <w:jc w:val="center"/>
        <w:rPr>
          <w:rFonts w:ascii="宋体" w:hAnsi="宋体" w:eastAsia="宋体"/>
          <w:sz w:val="22"/>
        </w:rPr>
      </w:pPr>
      <w:r>
        <w:rPr>
          <w:rFonts w:hint="eastAsia" w:ascii="宋体" w:hAnsi="宋体" w:eastAsia="宋体"/>
          <w:sz w:val="22"/>
        </w:rPr>
        <w:t>图3</w:t>
      </w:r>
      <w:r>
        <w:rPr>
          <w:rFonts w:ascii="宋体" w:hAnsi="宋体" w:eastAsia="宋体"/>
          <w:sz w:val="22"/>
        </w:rPr>
        <w:t xml:space="preserve"> </w:t>
      </w:r>
      <w:r>
        <w:rPr>
          <w:rFonts w:hint="eastAsia" w:ascii="宋体" w:hAnsi="宋体" w:eastAsia="宋体"/>
          <w:sz w:val="22"/>
        </w:rPr>
        <w:t>开发建设中标准地址的编制程序</w:t>
      </w:r>
    </w:p>
    <w:p>
      <w:pPr>
        <w:jc w:val="center"/>
        <w:rPr>
          <w:rFonts w:ascii="宋体" w:hAnsi="宋体" w:eastAsia="宋体"/>
          <w:sz w:val="22"/>
        </w:rPr>
      </w:pPr>
    </w:p>
    <w:p>
      <w:pPr>
        <w:pStyle w:val="12"/>
        <w:numPr>
          <w:ilvl w:val="0"/>
          <w:numId w:val="3"/>
        </w:numPr>
        <w:ind w:firstLineChars="0"/>
        <w:rPr>
          <w:rFonts w:ascii="宋体" w:hAnsi="宋体" w:eastAsia="宋体"/>
          <w:sz w:val="28"/>
          <w:szCs w:val="28"/>
        </w:rPr>
      </w:pPr>
      <w:r>
        <w:rPr>
          <w:rFonts w:ascii="宋体" w:hAnsi="宋体" w:eastAsia="宋体" w:cs="宋体"/>
          <w:b/>
          <w:bCs/>
          <w:sz w:val="28"/>
          <w:szCs w:val="28"/>
        </w:rPr>
        <w:t>标准地址的申报、救济、校核管理机制</w:t>
      </w:r>
    </w:p>
    <w:p>
      <w:pPr>
        <w:jc w:val="center"/>
        <w:rPr>
          <w:rFonts w:ascii="宋体" w:hAnsi="宋体" w:eastAsia="宋体"/>
          <w:sz w:val="22"/>
        </w:rPr>
      </w:pPr>
      <w:r>
        <w:rPr>
          <w:rFonts w:hint="eastAsia" w:ascii="宋体" w:hAnsi="宋体" w:eastAsia="宋体"/>
          <w:sz w:val="22"/>
        </w:rPr>
        <w:drawing>
          <wp:inline distT="0" distB="0" distL="0" distR="0">
            <wp:extent cx="4732020" cy="18865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5603" cy="1892299"/>
                    </a:xfrm>
                    <a:prstGeom prst="rect">
                      <a:avLst/>
                    </a:prstGeom>
                  </pic:spPr>
                </pic:pic>
              </a:graphicData>
            </a:graphic>
          </wp:inline>
        </w:drawing>
      </w:r>
    </w:p>
    <w:p>
      <w:pPr>
        <w:jc w:val="center"/>
        <w:rPr>
          <w:rFonts w:ascii="宋体" w:hAnsi="宋体" w:eastAsia="宋体" w:cs="宋体"/>
          <w:sz w:val="22"/>
        </w:rPr>
      </w:pPr>
      <w:r>
        <w:rPr>
          <w:rFonts w:hint="eastAsia" w:ascii="宋体" w:hAnsi="宋体" w:eastAsia="宋体"/>
          <w:sz w:val="22"/>
        </w:rPr>
        <w:t>图4</w:t>
      </w:r>
      <w:r>
        <w:rPr>
          <w:rFonts w:ascii="宋体" w:hAnsi="宋体" w:eastAsia="宋体"/>
          <w:sz w:val="22"/>
        </w:rPr>
        <w:t xml:space="preserve"> </w:t>
      </w:r>
      <w:r>
        <w:rPr>
          <w:rFonts w:ascii="宋体" w:hAnsi="宋体" w:eastAsia="宋体" w:cs="宋体"/>
          <w:sz w:val="22"/>
        </w:rPr>
        <w:t>标准地址的申报、救济、校核管理机制</w:t>
      </w:r>
    </w:p>
    <w:p>
      <w:pPr>
        <w:jc w:val="center"/>
        <w:rPr>
          <w:rFonts w:ascii="宋体" w:hAnsi="宋体" w:eastAsia="宋体"/>
          <w:sz w:val="22"/>
        </w:rPr>
      </w:pPr>
    </w:p>
    <w:p>
      <w:pPr>
        <w:pStyle w:val="12"/>
        <w:numPr>
          <w:ilvl w:val="0"/>
          <w:numId w:val="3"/>
        </w:numPr>
        <w:ind w:firstLineChars="0"/>
        <w:rPr>
          <w:rFonts w:ascii="宋体" w:hAnsi="宋体" w:eastAsia="宋体" w:cs="宋体"/>
          <w:b/>
          <w:bCs/>
          <w:sz w:val="28"/>
          <w:szCs w:val="28"/>
        </w:rPr>
      </w:pPr>
      <w:r>
        <w:rPr>
          <w:rFonts w:hint="eastAsia" w:ascii="宋体" w:hAnsi="宋体" w:eastAsia="宋体" w:cs="宋体"/>
          <w:b/>
          <w:bCs/>
          <w:sz w:val="28"/>
          <w:szCs w:val="28"/>
        </w:rPr>
        <w:t>地址消亡反馈流程</w:t>
      </w:r>
    </w:p>
    <w:p>
      <w:pPr>
        <w:jc w:val="center"/>
        <w:rPr>
          <w:rFonts w:ascii="宋体" w:hAnsi="宋体" w:eastAsia="宋体"/>
          <w:sz w:val="28"/>
          <w:szCs w:val="28"/>
        </w:rPr>
      </w:pPr>
      <w:r>
        <w:rPr>
          <w:rFonts w:ascii="宋体" w:hAnsi="宋体" w:eastAsia="宋体"/>
          <w:sz w:val="28"/>
          <w:szCs w:val="28"/>
        </w:rPr>
        <w:drawing>
          <wp:inline distT="0" distB="0" distL="0" distR="0">
            <wp:extent cx="4714875" cy="183642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31728" cy="1842902"/>
                    </a:xfrm>
                    <a:prstGeom prst="rect">
                      <a:avLst/>
                    </a:prstGeom>
                  </pic:spPr>
                </pic:pic>
              </a:graphicData>
            </a:graphic>
          </wp:inline>
        </w:drawing>
      </w:r>
    </w:p>
    <w:p>
      <w:pPr>
        <w:jc w:val="center"/>
        <w:rPr>
          <w:rFonts w:ascii="宋体" w:hAnsi="宋体" w:eastAsia="宋体"/>
          <w:sz w:val="28"/>
          <w:szCs w:val="28"/>
        </w:rPr>
      </w:pPr>
      <w:r>
        <w:rPr>
          <w:rFonts w:hint="eastAsia" w:ascii="宋体" w:hAnsi="宋体" w:eastAsia="宋体"/>
          <w:sz w:val="22"/>
        </w:rPr>
        <w:t>图5</w:t>
      </w:r>
      <w:r>
        <w:rPr>
          <w:rFonts w:ascii="宋体" w:hAnsi="宋体" w:eastAsia="宋体"/>
          <w:sz w:val="22"/>
        </w:rPr>
        <w:t xml:space="preserve"> </w:t>
      </w:r>
      <w:r>
        <w:rPr>
          <w:rFonts w:hint="eastAsia" w:ascii="宋体" w:hAnsi="宋体" w:eastAsia="宋体" w:cs="宋体"/>
          <w:sz w:val="22"/>
        </w:rPr>
        <w:t>地址消亡反馈流程</w:t>
      </w:r>
    </w:p>
    <w:p>
      <w:pPr>
        <w:pStyle w:val="12"/>
        <w:numPr>
          <w:ilvl w:val="0"/>
          <w:numId w:val="3"/>
        </w:numPr>
        <w:ind w:firstLineChars="0"/>
        <w:rPr>
          <w:rFonts w:ascii="宋体" w:hAnsi="宋体" w:eastAsia="宋体" w:cs="宋体"/>
          <w:b/>
          <w:bCs/>
          <w:sz w:val="28"/>
          <w:szCs w:val="28"/>
        </w:rPr>
      </w:pPr>
      <w:r>
        <w:rPr>
          <w:rFonts w:hint="eastAsia" w:ascii="宋体" w:hAnsi="宋体" w:eastAsia="宋体"/>
          <w:sz w:val="28"/>
          <w:szCs w:val="28"/>
        </w:rPr>
        <w:t>拆迁地址消亡流程</w:t>
      </w:r>
    </w:p>
    <w:p>
      <w:pPr>
        <w:jc w:val="center"/>
        <w:rPr>
          <w:rFonts w:ascii="宋体" w:hAnsi="宋体" w:eastAsia="宋体"/>
          <w:sz w:val="28"/>
          <w:szCs w:val="28"/>
        </w:rPr>
      </w:pPr>
      <w:r>
        <w:rPr>
          <w:rFonts w:hint="eastAsia" w:ascii="宋体" w:hAnsi="宋体" w:eastAsia="宋体"/>
          <w:sz w:val="28"/>
          <w:szCs w:val="28"/>
        </w:rPr>
        <w:drawing>
          <wp:inline distT="0" distB="0" distL="0" distR="0">
            <wp:extent cx="5274310" cy="198120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310" cy="1981200"/>
                    </a:xfrm>
                    <a:prstGeom prst="rect">
                      <a:avLst/>
                    </a:prstGeom>
                  </pic:spPr>
                </pic:pic>
              </a:graphicData>
            </a:graphic>
          </wp:inline>
        </w:drawing>
      </w:r>
    </w:p>
    <w:p>
      <w:pPr>
        <w:jc w:val="center"/>
        <w:rPr>
          <w:rFonts w:ascii="宋体" w:hAnsi="宋体" w:eastAsia="宋体"/>
          <w:sz w:val="28"/>
          <w:szCs w:val="28"/>
        </w:rPr>
      </w:pPr>
      <w:r>
        <w:rPr>
          <w:rFonts w:hint="eastAsia" w:ascii="宋体" w:hAnsi="宋体" w:eastAsia="宋体"/>
          <w:sz w:val="22"/>
        </w:rPr>
        <w:t>图</w:t>
      </w:r>
      <w:r>
        <w:rPr>
          <w:rFonts w:ascii="宋体" w:hAnsi="宋体" w:eastAsia="宋体"/>
          <w:sz w:val="22"/>
        </w:rPr>
        <w:t xml:space="preserve">6 </w:t>
      </w:r>
      <w:r>
        <w:rPr>
          <w:rFonts w:hint="eastAsia" w:ascii="宋体" w:hAnsi="宋体" w:eastAsia="宋体"/>
          <w:sz w:val="22"/>
        </w:rPr>
        <w:t>拆迁</w:t>
      </w:r>
      <w:r>
        <w:rPr>
          <w:rFonts w:hint="eastAsia" w:ascii="宋体" w:hAnsi="宋体" w:eastAsia="宋体" w:cs="宋体"/>
          <w:sz w:val="22"/>
        </w:rPr>
        <w:t>地址消亡流程</w:t>
      </w:r>
    </w:p>
    <w:sectPr>
      <w:headerReference r:id="rId6" w:type="first"/>
      <w:footerReference r:id="rId7" w:type="firs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313954"/>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5DDD"/>
    <w:multiLevelType w:val="multilevel"/>
    <w:tmpl w:val="206B5DD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1C0793"/>
    <w:multiLevelType w:val="multilevel"/>
    <w:tmpl w:val="271C0793"/>
    <w:lvl w:ilvl="0" w:tentative="0">
      <w:start w:val="1"/>
      <w:numFmt w:val="japaneseCounting"/>
      <w:lvlText w:val="第%1条"/>
      <w:lvlJc w:val="left"/>
      <w:pPr>
        <w:ind w:left="788" w:hanging="788"/>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32F6FA9"/>
    <w:multiLevelType w:val="multilevel"/>
    <w:tmpl w:val="532F6FA9"/>
    <w:lvl w:ilvl="0" w:tentative="0">
      <w:start w:val="6"/>
      <w:numFmt w:val="japaneseCounting"/>
      <w:lvlText w:val="（%1）"/>
      <w:lvlJc w:val="left"/>
      <w:pPr>
        <w:ind w:left="1563" w:hanging="855"/>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6F"/>
    <w:rsid w:val="0000215A"/>
    <w:rsid w:val="0000407A"/>
    <w:rsid w:val="000134E0"/>
    <w:rsid w:val="0002032F"/>
    <w:rsid w:val="0002183D"/>
    <w:rsid w:val="0002210F"/>
    <w:rsid w:val="000271B2"/>
    <w:rsid w:val="00040AA0"/>
    <w:rsid w:val="00041142"/>
    <w:rsid w:val="00052034"/>
    <w:rsid w:val="00061B2D"/>
    <w:rsid w:val="000674DA"/>
    <w:rsid w:val="00082D07"/>
    <w:rsid w:val="000974F3"/>
    <w:rsid w:val="000A2D79"/>
    <w:rsid w:val="000A5C20"/>
    <w:rsid w:val="000A680D"/>
    <w:rsid w:val="000B2847"/>
    <w:rsid w:val="000C179F"/>
    <w:rsid w:val="000C5BFB"/>
    <w:rsid w:val="000D3468"/>
    <w:rsid w:val="000E0A2C"/>
    <w:rsid w:val="000F0E7B"/>
    <w:rsid w:val="000F1939"/>
    <w:rsid w:val="000F4260"/>
    <w:rsid w:val="00106AC8"/>
    <w:rsid w:val="001106B0"/>
    <w:rsid w:val="00130AF7"/>
    <w:rsid w:val="00136E99"/>
    <w:rsid w:val="00142D34"/>
    <w:rsid w:val="00145874"/>
    <w:rsid w:val="00146257"/>
    <w:rsid w:val="001467DC"/>
    <w:rsid w:val="001500F9"/>
    <w:rsid w:val="00155373"/>
    <w:rsid w:val="00164F54"/>
    <w:rsid w:val="00165160"/>
    <w:rsid w:val="00166F1B"/>
    <w:rsid w:val="0017539A"/>
    <w:rsid w:val="00182C20"/>
    <w:rsid w:val="00183A6F"/>
    <w:rsid w:val="00186D13"/>
    <w:rsid w:val="00191D0A"/>
    <w:rsid w:val="00193F21"/>
    <w:rsid w:val="001A007C"/>
    <w:rsid w:val="001B34F4"/>
    <w:rsid w:val="001B3DB1"/>
    <w:rsid w:val="001B588E"/>
    <w:rsid w:val="001D2ADE"/>
    <w:rsid w:val="001E1DB0"/>
    <w:rsid w:val="001F467D"/>
    <w:rsid w:val="002023C1"/>
    <w:rsid w:val="002050CC"/>
    <w:rsid w:val="00205262"/>
    <w:rsid w:val="002077CB"/>
    <w:rsid w:val="00212F6C"/>
    <w:rsid w:val="00216AA5"/>
    <w:rsid w:val="0022309C"/>
    <w:rsid w:val="002265EE"/>
    <w:rsid w:val="00246498"/>
    <w:rsid w:val="00246981"/>
    <w:rsid w:val="00247670"/>
    <w:rsid w:val="00255BB2"/>
    <w:rsid w:val="002619B7"/>
    <w:rsid w:val="002624BC"/>
    <w:rsid w:val="00273BB8"/>
    <w:rsid w:val="00277B57"/>
    <w:rsid w:val="00280B78"/>
    <w:rsid w:val="0028728C"/>
    <w:rsid w:val="0029097A"/>
    <w:rsid w:val="00292B57"/>
    <w:rsid w:val="00294C87"/>
    <w:rsid w:val="00295000"/>
    <w:rsid w:val="00297049"/>
    <w:rsid w:val="00297C10"/>
    <w:rsid w:val="002A058E"/>
    <w:rsid w:val="002A1CBD"/>
    <w:rsid w:val="002A3379"/>
    <w:rsid w:val="002A519F"/>
    <w:rsid w:val="002A55CE"/>
    <w:rsid w:val="002B0591"/>
    <w:rsid w:val="002B0643"/>
    <w:rsid w:val="002B4D8A"/>
    <w:rsid w:val="002B7F93"/>
    <w:rsid w:val="002C40F5"/>
    <w:rsid w:val="002D58AA"/>
    <w:rsid w:val="002E00C8"/>
    <w:rsid w:val="002E334E"/>
    <w:rsid w:val="002E3D82"/>
    <w:rsid w:val="002E4815"/>
    <w:rsid w:val="002E50AE"/>
    <w:rsid w:val="002E67F0"/>
    <w:rsid w:val="002E7670"/>
    <w:rsid w:val="002F4624"/>
    <w:rsid w:val="003023C2"/>
    <w:rsid w:val="00304231"/>
    <w:rsid w:val="00322309"/>
    <w:rsid w:val="00323BE7"/>
    <w:rsid w:val="003250C9"/>
    <w:rsid w:val="0032534A"/>
    <w:rsid w:val="00335E28"/>
    <w:rsid w:val="00336B3E"/>
    <w:rsid w:val="00337AAC"/>
    <w:rsid w:val="0034035E"/>
    <w:rsid w:val="00340674"/>
    <w:rsid w:val="0034273F"/>
    <w:rsid w:val="00343742"/>
    <w:rsid w:val="0035263B"/>
    <w:rsid w:val="00352CDF"/>
    <w:rsid w:val="00355520"/>
    <w:rsid w:val="0035673C"/>
    <w:rsid w:val="00361AAE"/>
    <w:rsid w:val="00367F91"/>
    <w:rsid w:val="0037045D"/>
    <w:rsid w:val="00371C87"/>
    <w:rsid w:val="00376BB7"/>
    <w:rsid w:val="00377024"/>
    <w:rsid w:val="0037718D"/>
    <w:rsid w:val="00382BF6"/>
    <w:rsid w:val="003837E6"/>
    <w:rsid w:val="00385F8C"/>
    <w:rsid w:val="0038666C"/>
    <w:rsid w:val="00386D37"/>
    <w:rsid w:val="00386D54"/>
    <w:rsid w:val="003A1479"/>
    <w:rsid w:val="003A2C6C"/>
    <w:rsid w:val="003A6923"/>
    <w:rsid w:val="003B2D91"/>
    <w:rsid w:val="003C222E"/>
    <w:rsid w:val="003C254D"/>
    <w:rsid w:val="003D0916"/>
    <w:rsid w:val="003D13AE"/>
    <w:rsid w:val="003D3F11"/>
    <w:rsid w:val="003D58B8"/>
    <w:rsid w:val="003E3D7F"/>
    <w:rsid w:val="003E6F4D"/>
    <w:rsid w:val="003E7F7D"/>
    <w:rsid w:val="00401299"/>
    <w:rsid w:val="0040654C"/>
    <w:rsid w:val="00406ED6"/>
    <w:rsid w:val="00411053"/>
    <w:rsid w:val="00417087"/>
    <w:rsid w:val="0042226F"/>
    <w:rsid w:val="0043344A"/>
    <w:rsid w:val="004350B7"/>
    <w:rsid w:val="00445453"/>
    <w:rsid w:val="00447085"/>
    <w:rsid w:val="0045788C"/>
    <w:rsid w:val="00470215"/>
    <w:rsid w:val="00485B63"/>
    <w:rsid w:val="004B6483"/>
    <w:rsid w:val="004D273F"/>
    <w:rsid w:val="004D3B62"/>
    <w:rsid w:val="004E6059"/>
    <w:rsid w:val="004F0119"/>
    <w:rsid w:val="004F447A"/>
    <w:rsid w:val="004F538C"/>
    <w:rsid w:val="004F7197"/>
    <w:rsid w:val="005001EE"/>
    <w:rsid w:val="00505090"/>
    <w:rsid w:val="00511C7B"/>
    <w:rsid w:val="005219C5"/>
    <w:rsid w:val="00524AE6"/>
    <w:rsid w:val="00532862"/>
    <w:rsid w:val="005441DF"/>
    <w:rsid w:val="00545F4A"/>
    <w:rsid w:val="00552D73"/>
    <w:rsid w:val="005532F0"/>
    <w:rsid w:val="00560393"/>
    <w:rsid w:val="0056369E"/>
    <w:rsid w:val="0057327D"/>
    <w:rsid w:val="00580294"/>
    <w:rsid w:val="00584A42"/>
    <w:rsid w:val="0059578F"/>
    <w:rsid w:val="005A1095"/>
    <w:rsid w:val="005A458C"/>
    <w:rsid w:val="005B3999"/>
    <w:rsid w:val="005C0307"/>
    <w:rsid w:val="005C3716"/>
    <w:rsid w:val="005C5BB9"/>
    <w:rsid w:val="005D43E8"/>
    <w:rsid w:val="005F0303"/>
    <w:rsid w:val="005F7052"/>
    <w:rsid w:val="00601AD2"/>
    <w:rsid w:val="00602D0F"/>
    <w:rsid w:val="00602D6D"/>
    <w:rsid w:val="00605F33"/>
    <w:rsid w:val="00612553"/>
    <w:rsid w:val="00626BB7"/>
    <w:rsid w:val="00626F27"/>
    <w:rsid w:val="00630D58"/>
    <w:rsid w:val="00631DB3"/>
    <w:rsid w:val="006476D9"/>
    <w:rsid w:val="0066138F"/>
    <w:rsid w:val="00661408"/>
    <w:rsid w:val="006720FC"/>
    <w:rsid w:val="006728DE"/>
    <w:rsid w:val="0067638E"/>
    <w:rsid w:val="00691B81"/>
    <w:rsid w:val="00695CB1"/>
    <w:rsid w:val="006A5BE4"/>
    <w:rsid w:val="006A6D3E"/>
    <w:rsid w:val="006B3631"/>
    <w:rsid w:val="006B3918"/>
    <w:rsid w:val="006B4FD5"/>
    <w:rsid w:val="006C2A34"/>
    <w:rsid w:val="006C3615"/>
    <w:rsid w:val="006C3F97"/>
    <w:rsid w:val="006C42C5"/>
    <w:rsid w:val="006D0FDD"/>
    <w:rsid w:val="006D5644"/>
    <w:rsid w:val="006E03F5"/>
    <w:rsid w:val="006E0F1C"/>
    <w:rsid w:val="006E7BAA"/>
    <w:rsid w:val="006E7BFB"/>
    <w:rsid w:val="006F0ADB"/>
    <w:rsid w:val="006F13B6"/>
    <w:rsid w:val="006F3CA6"/>
    <w:rsid w:val="006F3D82"/>
    <w:rsid w:val="007145B1"/>
    <w:rsid w:val="00721E30"/>
    <w:rsid w:val="00724787"/>
    <w:rsid w:val="0072510E"/>
    <w:rsid w:val="00727DAB"/>
    <w:rsid w:val="0074136F"/>
    <w:rsid w:val="0075483D"/>
    <w:rsid w:val="00762C91"/>
    <w:rsid w:val="00762E4F"/>
    <w:rsid w:val="00764098"/>
    <w:rsid w:val="007650EC"/>
    <w:rsid w:val="007661BC"/>
    <w:rsid w:val="00773142"/>
    <w:rsid w:val="00781358"/>
    <w:rsid w:val="00790523"/>
    <w:rsid w:val="007905D8"/>
    <w:rsid w:val="0079185D"/>
    <w:rsid w:val="00794451"/>
    <w:rsid w:val="0079473F"/>
    <w:rsid w:val="007959FA"/>
    <w:rsid w:val="007A6A12"/>
    <w:rsid w:val="007B15DC"/>
    <w:rsid w:val="007B2A4C"/>
    <w:rsid w:val="007C082E"/>
    <w:rsid w:val="007C590E"/>
    <w:rsid w:val="007C5C97"/>
    <w:rsid w:val="007C77F4"/>
    <w:rsid w:val="007D0B8A"/>
    <w:rsid w:val="007D26C2"/>
    <w:rsid w:val="007D48F5"/>
    <w:rsid w:val="007D72AA"/>
    <w:rsid w:val="007E1CB9"/>
    <w:rsid w:val="007E4019"/>
    <w:rsid w:val="007F3CA7"/>
    <w:rsid w:val="007F6569"/>
    <w:rsid w:val="00807918"/>
    <w:rsid w:val="00813BBE"/>
    <w:rsid w:val="008216D2"/>
    <w:rsid w:val="008223D5"/>
    <w:rsid w:val="00825273"/>
    <w:rsid w:val="008560B6"/>
    <w:rsid w:val="00861448"/>
    <w:rsid w:val="00862772"/>
    <w:rsid w:val="008739F5"/>
    <w:rsid w:val="00895F5D"/>
    <w:rsid w:val="008A0875"/>
    <w:rsid w:val="008A7229"/>
    <w:rsid w:val="008B549A"/>
    <w:rsid w:val="008C0FDB"/>
    <w:rsid w:val="008C2ECB"/>
    <w:rsid w:val="008C2FE2"/>
    <w:rsid w:val="008C7259"/>
    <w:rsid w:val="008D1B3E"/>
    <w:rsid w:val="008D69A6"/>
    <w:rsid w:val="008E29EA"/>
    <w:rsid w:val="008E4B42"/>
    <w:rsid w:val="008E6008"/>
    <w:rsid w:val="008E6A6C"/>
    <w:rsid w:val="00903DCB"/>
    <w:rsid w:val="00926C2B"/>
    <w:rsid w:val="00927807"/>
    <w:rsid w:val="0092799C"/>
    <w:rsid w:val="00930EA5"/>
    <w:rsid w:val="00930FD5"/>
    <w:rsid w:val="0093229B"/>
    <w:rsid w:val="0094178E"/>
    <w:rsid w:val="009424BD"/>
    <w:rsid w:val="00947002"/>
    <w:rsid w:val="009502FF"/>
    <w:rsid w:val="00953E94"/>
    <w:rsid w:val="009559B4"/>
    <w:rsid w:val="009705C1"/>
    <w:rsid w:val="00973D69"/>
    <w:rsid w:val="00973EAE"/>
    <w:rsid w:val="00974EF2"/>
    <w:rsid w:val="00981AFA"/>
    <w:rsid w:val="00981BAA"/>
    <w:rsid w:val="009863AD"/>
    <w:rsid w:val="009912AF"/>
    <w:rsid w:val="0099534B"/>
    <w:rsid w:val="00995AB6"/>
    <w:rsid w:val="00996BE4"/>
    <w:rsid w:val="0099773C"/>
    <w:rsid w:val="009A0233"/>
    <w:rsid w:val="009A034F"/>
    <w:rsid w:val="009B0EC0"/>
    <w:rsid w:val="009C4C33"/>
    <w:rsid w:val="009D6B5B"/>
    <w:rsid w:val="009E02CF"/>
    <w:rsid w:val="009E2C38"/>
    <w:rsid w:val="009E55B6"/>
    <w:rsid w:val="009F724A"/>
    <w:rsid w:val="00A00A84"/>
    <w:rsid w:val="00A077E4"/>
    <w:rsid w:val="00A105A6"/>
    <w:rsid w:val="00A122E8"/>
    <w:rsid w:val="00A13356"/>
    <w:rsid w:val="00A13493"/>
    <w:rsid w:val="00A14566"/>
    <w:rsid w:val="00A1474D"/>
    <w:rsid w:val="00A15C0C"/>
    <w:rsid w:val="00A176E7"/>
    <w:rsid w:val="00A26610"/>
    <w:rsid w:val="00A36799"/>
    <w:rsid w:val="00A41EC3"/>
    <w:rsid w:val="00A51A05"/>
    <w:rsid w:val="00A51C5C"/>
    <w:rsid w:val="00A547BF"/>
    <w:rsid w:val="00A5546F"/>
    <w:rsid w:val="00A65184"/>
    <w:rsid w:val="00A711EE"/>
    <w:rsid w:val="00A72368"/>
    <w:rsid w:val="00A744DC"/>
    <w:rsid w:val="00A86F4D"/>
    <w:rsid w:val="00A93DC0"/>
    <w:rsid w:val="00AA6C16"/>
    <w:rsid w:val="00AB2B68"/>
    <w:rsid w:val="00AB3E66"/>
    <w:rsid w:val="00AC4793"/>
    <w:rsid w:val="00AC639E"/>
    <w:rsid w:val="00AE0BDD"/>
    <w:rsid w:val="00AE32AD"/>
    <w:rsid w:val="00AE4DA0"/>
    <w:rsid w:val="00AE6E9E"/>
    <w:rsid w:val="00AE6EB4"/>
    <w:rsid w:val="00AE7BF1"/>
    <w:rsid w:val="00AE7CA6"/>
    <w:rsid w:val="00AF2A3D"/>
    <w:rsid w:val="00AF6102"/>
    <w:rsid w:val="00B01ADD"/>
    <w:rsid w:val="00B117FF"/>
    <w:rsid w:val="00B133F3"/>
    <w:rsid w:val="00B218B9"/>
    <w:rsid w:val="00B2447E"/>
    <w:rsid w:val="00B335B1"/>
    <w:rsid w:val="00B37986"/>
    <w:rsid w:val="00B4265F"/>
    <w:rsid w:val="00B43EB1"/>
    <w:rsid w:val="00B474ED"/>
    <w:rsid w:val="00B477F1"/>
    <w:rsid w:val="00B61F4F"/>
    <w:rsid w:val="00B730E6"/>
    <w:rsid w:val="00B74104"/>
    <w:rsid w:val="00B75DF6"/>
    <w:rsid w:val="00B76575"/>
    <w:rsid w:val="00B76B5E"/>
    <w:rsid w:val="00B77C76"/>
    <w:rsid w:val="00B80DA8"/>
    <w:rsid w:val="00B93871"/>
    <w:rsid w:val="00B96F39"/>
    <w:rsid w:val="00BA3EC0"/>
    <w:rsid w:val="00BA62B1"/>
    <w:rsid w:val="00BB7DF7"/>
    <w:rsid w:val="00BC55E0"/>
    <w:rsid w:val="00BC584A"/>
    <w:rsid w:val="00BC79D7"/>
    <w:rsid w:val="00BD075B"/>
    <w:rsid w:val="00BD47D6"/>
    <w:rsid w:val="00BD6ECF"/>
    <w:rsid w:val="00BE4ADD"/>
    <w:rsid w:val="00BE5930"/>
    <w:rsid w:val="00BF5D92"/>
    <w:rsid w:val="00BF71FD"/>
    <w:rsid w:val="00C060C1"/>
    <w:rsid w:val="00C11839"/>
    <w:rsid w:val="00C11F56"/>
    <w:rsid w:val="00C12556"/>
    <w:rsid w:val="00C21D3B"/>
    <w:rsid w:val="00C26C6E"/>
    <w:rsid w:val="00C34400"/>
    <w:rsid w:val="00C36DA1"/>
    <w:rsid w:val="00C500CA"/>
    <w:rsid w:val="00C515EA"/>
    <w:rsid w:val="00C522EF"/>
    <w:rsid w:val="00C53F18"/>
    <w:rsid w:val="00C56DBE"/>
    <w:rsid w:val="00C57E11"/>
    <w:rsid w:val="00C60751"/>
    <w:rsid w:val="00C61EE6"/>
    <w:rsid w:val="00C63BC3"/>
    <w:rsid w:val="00C6454C"/>
    <w:rsid w:val="00C70A27"/>
    <w:rsid w:val="00C73BAA"/>
    <w:rsid w:val="00C86B5A"/>
    <w:rsid w:val="00C86C20"/>
    <w:rsid w:val="00C92AC4"/>
    <w:rsid w:val="00C93582"/>
    <w:rsid w:val="00CA5834"/>
    <w:rsid w:val="00CB10F3"/>
    <w:rsid w:val="00CC3978"/>
    <w:rsid w:val="00CC3D73"/>
    <w:rsid w:val="00CC6081"/>
    <w:rsid w:val="00CC79D1"/>
    <w:rsid w:val="00CE2A34"/>
    <w:rsid w:val="00CE647C"/>
    <w:rsid w:val="00CE760D"/>
    <w:rsid w:val="00D120F8"/>
    <w:rsid w:val="00D147D7"/>
    <w:rsid w:val="00D17266"/>
    <w:rsid w:val="00D3361E"/>
    <w:rsid w:val="00D40FB8"/>
    <w:rsid w:val="00D53A95"/>
    <w:rsid w:val="00D53C40"/>
    <w:rsid w:val="00D54840"/>
    <w:rsid w:val="00D56A3E"/>
    <w:rsid w:val="00D579D7"/>
    <w:rsid w:val="00D66276"/>
    <w:rsid w:val="00D66898"/>
    <w:rsid w:val="00D701C7"/>
    <w:rsid w:val="00D73675"/>
    <w:rsid w:val="00D74C98"/>
    <w:rsid w:val="00D907C7"/>
    <w:rsid w:val="00D955FC"/>
    <w:rsid w:val="00DA2BD0"/>
    <w:rsid w:val="00DA4759"/>
    <w:rsid w:val="00DA4B86"/>
    <w:rsid w:val="00DA5122"/>
    <w:rsid w:val="00DB15D6"/>
    <w:rsid w:val="00DB17C0"/>
    <w:rsid w:val="00DB7593"/>
    <w:rsid w:val="00DB7D48"/>
    <w:rsid w:val="00DC2A87"/>
    <w:rsid w:val="00DC497A"/>
    <w:rsid w:val="00DD1754"/>
    <w:rsid w:val="00DD59BA"/>
    <w:rsid w:val="00DD7136"/>
    <w:rsid w:val="00DE35E1"/>
    <w:rsid w:val="00DF10B4"/>
    <w:rsid w:val="00DF2591"/>
    <w:rsid w:val="00DF38B6"/>
    <w:rsid w:val="00E157F3"/>
    <w:rsid w:val="00E17D08"/>
    <w:rsid w:val="00E21076"/>
    <w:rsid w:val="00E212CB"/>
    <w:rsid w:val="00E220E0"/>
    <w:rsid w:val="00E2279D"/>
    <w:rsid w:val="00E23DAE"/>
    <w:rsid w:val="00E3325D"/>
    <w:rsid w:val="00E3421D"/>
    <w:rsid w:val="00E37210"/>
    <w:rsid w:val="00E3776C"/>
    <w:rsid w:val="00E5067E"/>
    <w:rsid w:val="00E508FA"/>
    <w:rsid w:val="00E518CA"/>
    <w:rsid w:val="00E52BBC"/>
    <w:rsid w:val="00E5334D"/>
    <w:rsid w:val="00E53C13"/>
    <w:rsid w:val="00E6287B"/>
    <w:rsid w:val="00E62DAC"/>
    <w:rsid w:val="00E63984"/>
    <w:rsid w:val="00E6713E"/>
    <w:rsid w:val="00E75D00"/>
    <w:rsid w:val="00E814EE"/>
    <w:rsid w:val="00E9511D"/>
    <w:rsid w:val="00EA15C9"/>
    <w:rsid w:val="00EA62E9"/>
    <w:rsid w:val="00EA6895"/>
    <w:rsid w:val="00EB3E7E"/>
    <w:rsid w:val="00EB43EB"/>
    <w:rsid w:val="00EB7DCD"/>
    <w:rsid w:val="00EC1B35"/>
    <w:rsid w:val="00EC4C37"/>
    <w:rsid w:val="00ED3384"/>
    <w:rsid w:val="00ED53CE"/>
    <w:rsid w:val="00ED65F1"/>
    <w:rsid w:val="00EE2B01"/>
    <w:rsid w:val="00EE44E3"/>
    <w:rsid w:val="00EF5394"/>
    <w:rsid w:val="00F01615"/>
    <w:rsid w:val="00F03A51"/>
    <w:rsid w:val="00F07E71"/>
    <w:rsid w:val="00F145AA"/>
    <w:rsid w:val="00F1532A"/>
    <w:rsid w:val="00F24534"/>
    <w:rsid w:val="00F249C6"/>
    <w:rsid w:val="00F26822"/>
    <w:rsid w:val="00F36383"/>
    <w:rsid w:val="00F41A4E"/>
    <w:rsid w:val="00F45FCD"/>
    <w:rsid w:val="00F4662E"/>
    <w:rsid w:val="00F4664F"/>
    <w:rsid w:val="00F60512"/>
    <w:rsid w:val="00F615CD"/>
    <w:rsid w:val="00F659F8"/>
    <w:rsid w:val="00F75F05"/>
    <w:rsid w:val="00F83716"/>
    <w:rsid w:val="00F850E6"/>
    <w:rsid w:val="00F94C5F"/>
    <w:rsid w:val="00FA1A2A"/>
    <w:rsid w:val="00FA6C00"/>
    <w:rsid w:val="00FB7372"/>
    <w:rsid w:val="00FC0E2B"/>
    <w:rsid w:val="00FC3CC5"/>
    <w:rsid w:val="00FC627B"/>
    <w:rsid w:val="00FD4A91"/>
    <w:rsid w:val="00FD7102"/>
    <w:rsid w:val="00FE3E57"/>
    <w:rsid w:val="00FE75FD"/>
    <w:rsid w:val="00FF55D3"/>
    <w:rsid w:val="02672EB7"/>
    <w:rsid w:val="12F733EF"/>
    <w:rsid w:val="25CC4706"/>
    <w:rsid w:val="29032CEA"/>
    <w:rsid w:val="29C81EFB"/>
    <w:rsid w:val="2EB46145"/>
    <w:rsid w:val="396D3E24"/>
    <w:rsid w:val="3D8B21A9"/>
    <w:rsid w:val="3FC22986"/>
    <w:rsid w:val="43B728FF"/>
    <w:rsid w:val="4D8359F3"/>
    <w:rsid w:val="5E9F4A8E"/>
    <w:rsid w:val="68821B94"/>
    <w:rsid w:val="68DE495D"/>
    <w:rsid w:val="7220377A"/>
    <w:rsid w:val="7EE3112D"/>
    <w:rsid w:val="7F286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character" w:styleId="8">
    <w:name w:val="Emphasis"/>
    <w:basedOn w:val="7"/>
    <w:qFormat/>
    <w:uiPriority w:val="20"/>
    <w:rPr>
      <w:i/>
      <w:i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列出段落 Char"/>
    <w:link w:val="12"/>
    <w:qFormat/>
    <w:uiPriority w:val="34"/>
  </w:style>
  <w:style w:type="paragraph" w:styleId="12">
    <w:name w:val="List Paragraph"/>
    <w:basedOn w:val="1"/>
    <w:link w:val="11"/>
    <w:qFormat/>
    <w:uiPriority w:val="34"/>
    <w:pPr>
      <w:ind w:firstLine="420" w:firstLineChars="200"/>
    </w:pPr>
  </w:style>
  <w:style w:type="character" w:customStyle="1" w:styleId="13">
    <w:name w:val="标题 1 Char"/>
    <w:basedOn w:val="7"/>
    <w:link w:val="2"/>
    <w:qFormat/>
    <w:uiPriority w:val="9"/>
    <w:rPr>
      <w:b/>
      <w:bCs/>
      <w:kern w:val="44"/>
      <w:sz w:val="44"/>
      <w:szCs w:val="44"/>
    </w:rPr>
  </w:style>
  <w:style w:type="paragraph" w:customStyle="1" w:styleId="14">
    <w:name w:val="列表段落1"/>
    <w:basedOn w:val="1"/>
    <w:qFormat/>
    <w:uiPriority w:val="99"/>
    <w:pPr>
      <w:spacing w:line="360" w:lineRule="auto"/>
      <w:ind w:firstLine="420"/>
      <w:jc w:val="left"/>
    </w:pPr>
    <w:rPr>
      <w:rFonts w:ascii="Calibri" w:hAnsi="Calibri" w:eastAsia="仿宋" w:cs="Times New Roman"/>
      <w:sz w:val="3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741</Words>
  <Characters>4229</Characters>
  <Lines>35</Lines>
  <Paragraphs>9</Paragraphs>
  <TotalTime>308</TotalTime>
  <ScaleCrop>false</ScaleCrop>
  <LinksUpToDate>false</LinksUpToDate>
  <CharactersWithSpaces>4961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2022-09-01T09:04:00Z</dcterms:created>
  <dc:creator>ct</dc:creator>
  <cp:lastModifiedBy>Administrator</cp:lastModifiedBy>
  <cp:lastPrinted>2022-09-08T16:38:00Z</cp:lastPrinted>
  <dcterms:modified xsi:type="dcterms:W3CDTF">2022-10-13T01:36:40Z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