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仿宋_GB2312" w:hAnsi="仿宋_GB2312" w:eastAsia="仿宋_GB2312" w:cs="仿宋_GB2312"/>
          <w:kern w:val="2"/>
          <w:sz w:val="32"/>
          <w:szCs w:val="32"/>
          <w:lang w:val="en-US" w:eastAsia="zh-CN" w:bidi="ar-SA"/>
        </w:rPr>
      </w:pPr>
      <w:bookmarkStart w:id="0" w:name="_GoBack"/>
      <w:bookmarkEnd w:id="0"/>
      <w:r>
        <w:rPr>
          <w:rFonts w:hint="eastAsia" w:ascii="仿宋_GB2312" w:hAnsi="仿宋_GB2312" w:eastAsia="仿宋_GB2312" w:cs="仿宋_GB2312"/>
          <w:kern w:val="2"/>
          <w:sz w:val="32"/>
          <w:szCs w:val="32"/>
          <w:lang w:val="en-US" w:eastAsia="zh-CN" w:bidi="ar-SA"/>
        </w:rPr>
        <w:t>一、清理的必要性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根据《宁波市奉化区人民政府办公室关于组织开展行政规范性文件专项清理工作的通知》要求，岳林街道对2021年11月4日之前制发的规范性文件进行了全面清理。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二、起草过程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2021年，由岳林街道各线办梳理统计规范性文件存废情况，形成《征求意见稿》。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三、主要内容的说明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1.制定依据：根据《浙江省行政规范性文件管理办法》（浙政令〔2010〕275号）和《浙江省人民政府关于推行行政规范性文件“三统一”制度的意见》（浙政发〔2012〕100号）规定和《宁波市奉化区人民政府办公室关于组织开展行政规范性文件专项清理工作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2.主要内容：本文件统计了岳林街道截至2021年11月1日之前制发的规范性文件，明确2个规范性文件予以保留。</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28925F4"/>
    <w:rsid w:val="728925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Office_11.8.2.9015_F1E327BC-269C-435d-A152-05C5408002CA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2021-11-04T06:56:00Z</dcterms:created>
  <dc:creator>Administrator</dc:creator>
  <cp:lastModifiedBy>Administrator</cp:lastModifiedBy>
  <dcterms:modified xsi:type="dcterms:W3CDTF">2021-11-04T06:57:05Z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2052-11.8.2.9015</vt:lpwstr>
  </property>
</Properties>
</file>