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rPr>
        <w:t>区公安分局20</w:t>
      </w:r>
      <w:r>
        <w:rPr>
          <w:rFonts w:hint="eastAsia" w:ascii="方正小标宋简体" w:hAnsi="方正小标宋简体" w:eastAsia="方正小标宋简体" w:cs="方正小标宋简体"/>
          <w:b w:val="0"/>
          <w:bCs w:val="0"/>
          <w:w w:val="90"/>
          <w:sz w:val="44"/>
          <w:szCs w:val="44"/>
          <w:lang w:val="en-US" w:eastAsia="zh-CN"/>
        </w:rPr>
        <w:t>22</w:t>
      </w:r>
      <w:r>
        <w:rPr>
          <w:rFonts w:hint="eastAsia" w:ascii="方正小标宋简体" w:hAnsi="方正小标宋简体" w:eastAsia="方正小标宋简体" w:cs="方正小标宋简体"/>
          <w:b w:val="0"/>
          <w:bCs w:val="0"/>
          <w:w w:val="90"/>
          <w:sz w:val="44"/>
          <w:szCs w:val="44"/>
        </w:rPr>
        <w:t>年度政府信息公开工作报告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仿宋"/>
          <w:sz w:val="32"/>
          <w:szCs w:val="32"/>
        </w:rPr>
      </w:pPr>
      <w:r>
        <w:rPr>
          <w:rFonts w:hint="eastAsia" w:ascii="仿宋_GB2312" w:hAnsi="仿宋_GB2312" w:eastAsia="仿宋_GB2312"/>
          <w:sz w:val="32"/>
          <w:szCs w:val="32"/>
        </w:rPr>
        <w:t>本年度报告根据新修订的《中华人民共和国政府信息公开条例》（以下简称《条例》）和《国务院办公厅政府信息与政务公开办公室关于印发中华人民共和国政府信息公开工作年度报告格式》（国办公开办函〔2021〕30号）要求，结合</w:t>
      </w:r>
      <w:r>
        <w:rPr>
          <w:rFonts w:hint="eastAsia" w:ascii="仿宋_GB2312" w:hAnsi="仿宋_GB2312" w:eastAsia="仿宋_GB2312"/>
          <w:sz w:val="32"/>
          <w:szCs w:val="32"/>
          <w:lang w:eastAsia="zh-CN"/>
        </w:rPr>
        <w:t>宁波市公安局奉化分局</w:t>
      </w: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度政府信息公开工作编制而成。本年报由总体情况，主动公开政府信息情况，收到和处理政府信息公开申请情况，政府信息公开行政复议、行政诉讼情况，政府信息公开工作存在的主要问题和改进情况、其他需要报告的事项等六部分组成。本年度报告中所列数据的统计期限从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年1月1日到12月31日止。本报告的电子版可在奉化区政府网站（www.fh.gov.cn）下载。如对报告有任何疑问，请与</w:t>
      </w:r>
      <w:r>
        <w:rPr>
          <w:rFonts w:hint="eastAsia" w:ascii="仿宋_GB2312" w:hAnsi="仿宋_GB2312" w:eastAsia="仿宋_GB2312"/>
          <w:sz w:val="32"/>
          <w:szCs w:val="32"/>
          <w:lang w:eastAsia="zh-CN"/>
        </w:rPr>
        <w:t>宁波市公安局奉化分局</w:t>
      </w:r>
      <w:r>
        <w:rPr>
          <w:rFonts w:hint="eastAsia" w:ascii="仿宋_GB2312" w:hAnsi="仿宋_GB2312" w:eastAsia="仿宋_GB2312"/>
          <w:sz w:val="32"/>
          <w:szCs w:val="32"/>
        </w:rPr>
        <w:t>办公室联系（地址：宁波市奉化区</w:t>
      </w:r>
      <w:r>
        <w:rPr>
          <w:rFonts w:hint="eastAsia" w:ascii="仿宋_GB2312" w:hAnsi="仿宋_GB2312" w:eastAsia="仿宋_GB2312"/>
          <w:sz w:val="32"/>
          <w:szCs w:val="32"/>
          <w:lang w:eastAsia="zh-CN"/>
        </w:rPr>
        <w:t>锦屏街道长汀路</w:t>
      </w:r>
      <w:r>
        <w:rPr>
          <w:rFonts w:hint="eastAsia" w:ascii="仿宋_GB2312" w:hAnsi="仿宋_GB2312" w:eastAsia="仿宋_GB2312"/>
          <w:sz w:val="32"/>
          <w:szCs w:val="32"/>
          <w:lang w:val="en-US" w:eastAsia="zh-CN"/>
        </w:rPr>
        <w:t>500号</w:t>
      </w:r>
      <w:r>
        <w:rPr>
          <w:rFonts w:hint="eastAsia" w:ascii="仿宋_GB2312" w:hAnsi="仿宋_GB2312" w:eastAsia="仿宋_GB2312"/>
          <w:sz w:val="32"/>
          <w:szCs w:val="32"/>
        </w:rPr>
        <w:t>，邮编：315500，电话:0574-</w:t>
      </w:r>
      <w:r>
        <w:rPr>
          <w:rFonts w:hint="eastAsia" w:ascii="仿宋_GB2312" w:hAnsi="仿宋_GB2312" w:eastAsia="仿宋_GB2312"/>
          <w:sz w:val="32"/>
          <w:szCs w:val="32"/>
          <w:lang w:val="en-US" w:eastAsia="zh-CN"/>
        </w:rPr>
        <w:t>88645015</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sz w:val="32"/>
          <w:szCs w:val="32"/>
          <w:lang w:val="en-US" w:eastAsia="zh-CN"/>
        </w:rPr>
      </w:pPr>
      <w:r>
        <w:rPr>
          <w:rFonts w:hint="eastAsia" w:ascii="黑体" w:hAnsi="黑体" w:eastAsia="黑体" w:cs="仿宋"/>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楷体_GB2312" w:hAnsi="楷体_GB2312" w:eastAsia="楷体_GB2312" w:cs="楷体_GB2312"/>
          <w:sz w:val="32"/>
          <w:szCs w:val="32"/>
          <w:lang w:val="en-US" w:eastAsia="zh-CN"/>
        </w:rPr>
        <w:t>（一）主动公开情况。</w:t>
      </w:r>
      <w:r>
        <w:rPr>
          <w:rFonts w:hint="eastAsia" w:ascii="仿宋_GB2312" w:hAnsi="仿宋_GB2312" w:eastAsia="仿宋_GB2312"/>
          <w:sz w:val="32"/>
          <w:szCs w:val="32"/>
          <w:lang w:val="en-US" w:eastAsia="zh-CN"/>
        </w:rPr>
        <w:t>2022年</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我局</w:t>
      </w:r>
      <w:r>
        <w:rPr>
          <w:rFonts w:hint="eastAsia" w:ascii="仿宋_GB2312" w:hAnsi="仿宋_GB2312" w:eastAsia="仿宋_GB2312"/>
          <w:sz w:val="32"/>
          <w:szCs w:val="32"/>
          <w:lang w:val="en-US" w:eastAsia="zh-CN"/>
        </w:rPr>
        <w:t>在浙江政务服务网和区政府信息公开网上主动公开政府信息226条，</w:t>
      </w:r>
      <w:r>
        <w:rPr>
          <w:rFonts w:hint="eastAsia" w:ascii="仿宋_GB2312" w:eastAsia="仿宋_GB2312"/>
          <w:sz w:val="32"/>
          <w:szCs w:val="32"/>
        </w:rPr>
        <w:t>其中工作信息</w:t>
      </w:r>
      <w:r>
        <w:rPr>
          <w:rFonts w:hint="eastAsia" w:ascii="仿宋_GB2312" w:eastAsia="仿宋_GB2312"/>
          <w:sz w:val="32"/>
          <w:szCs w:val="32"/>
          <w:lang w:val="en-US" w:eastAsia="zh-CN"/>
        </w:rPr>
        <w:t>174</w:t>
      </w:r>
      <w:r>
        <w:rPr>
          <w:rFonts w:hint="eastAsia" w:ascii="仿宋_GB2312" w:eastAsia="仿宋_GB2312"/>
          <w:sz w:val="32"/>
          <w:szCs w:val="32"/>
        </w:rPr>
        <w:t>条、财政信息</w:t>
      </w:r>
      <w:r>
        <w:rPr>
          <w:rFonts w:hint="eastAsia" w:ascii="仿宋_GB2312" w:eastAsia="仿宋_GB2312"/>
          <w:sz w:val="32"/>
          <w:szCs w:val="32"/>
          <w:lang w:val="en-US" w:eastAsia="zh-CN"/>
        </w:rPr>
        <w:t>5条</w:t>
      </w:r>
      <w:r>
        <w:rPr>
          <w:rFonts w:hint="eastAsia" w:ascii="仿宋_GB2312" w:eastAsia="仿宋_GB2312"/>
          <w:sz w:val="32"/>
          <w:szCs w:val="32"/>
        </w:rPr>
        <w:t>、</w:t>
      </w:r>
      <w:r>
        <w:rPr>
          <w:rFonts w:hint="eastAsia" w:ascii="仿宋_GB2312" w:eastAsia="仿宋_GB2312"/>
          <w:sz w:val="32"/>
          <w:szCs w:val="32"/>
          <w:lang w:eastAsia="zh-CN"/>
        </w:rPr>
        <w:t>机构信息</w:t>
      </w:r>
      <w:r>
        <w:rPr>
          <w:rFonts w:hint="eastAsia" w:ascii="仿宋_GB2312" w:eastAsia="仿宋_GB2312"/>
          <w:sz w:val="32"/>
          <w:szCs w:val="32"/>
          <w:lang w:val="en-US" w:eastAsia="zh-CN"/>
        </w:rPr>
        <w:t>17</w:t>
      </w:r>
      <w:r>
        <w:rPr>
          <w:rFonts w:hint="eastAsia" w:ascii="仿宋_GB2312" w:eastAsia="仿宋_GB2312"/>
          <w:sz w:val="32"/>
          <w:szCs w:val="32"/>
        </w:rPr>
        <w:t>条</w:t>
      </w:r>
      <w:r>
        <w:rPr>
          <w:rFonts w:hint="eastAsia" w:ascii="仿宋_GB2312" w:eastAsia="仿宋_GB2312"/>
          <w:sz w:val="32"/>
          <w:szCs w:val="32"/>
          <w:lang w:eastAsia="zh-CN"/>
        </w:rPr>
        <w:t>、人大代表提案</w:t>
      </w:r>
      <w:r>
        <w:rPr>
          <w:rFonts w:hint="eastAsia" w:ascii="仿宋_GB2312" w:eastAsia="仿宋_GB2312"/>
          <w:sz w:val="32"/>
          <w:szCs w:val="32"/>
          <w:lang w:val="en-US" w:eastAsia="zh-CN"/>
        </w:rPr>
        <w:t>18条、政协委员提案12条</w:t>
      </w:r>
      <w:r>
        <w:rPr>
          <w:rFonts w:hint="eastAsia" w:ascii="仿宋_GB2312" w:hAnsi="仿宋_GB2312" w:eastAsia="仿宋_GB2312"/>
          <w:sz w:val="32"/>
          <w:szCs w:val="32"/>
          <w:lang w:eastAsia="zh-CN"/>
        </w:rPr>
        <w:t>。</w:t>
      </w:r>
      <w:r>
        <w:rPr>
          <w:rFonts w:hint="eastAsia" w:ascii="仿宋_GB2312" w:eastAsia="仿宋_GB2312"/>
          <w:sz w:val="32"/>
          <w:szCs w:val="32"/>
        </w:rPr>
        <w:t>此外，</w:t>
      </w:r>
      <w:r>
        <w:rPr>
          <w:rFonts w:hint="eastAsia" w:ascii="仿宋_GB2312" w:eastAsia="仿宋_GB2312"/>
          <w:sz w:val="32"/>
          <w:szCs w:val="32"/>
          <w:lang w:eastAsia="zh-CN"/>
        </w:rPr>
        <w:t>还</w:t>
      </w:r>
      <w:r>
        <w:rPr>
          <w:rFonts w:hint="eastAsia" w:ascii="仿宋_GB2312" w:eastAsia="仿宋_GB2312"/>
          <w:sz w:val="32"/>
          <w:szCs w:val="32"/>
        </w:rPr>
        <w:t>积极受理领导信箱转办的各类咨询、举报和监督投诉，</w:t>
      </w:r>
      <w:r>
        <w:rPr>
          <w:rFonts w:hint="eastAsia" w:ascii="仿宋_GB2312" w:eastAsia="仿宋_GB2312"/>
          <w:sz w:val="32"/>
          <w:szCs w:val="32"/>
          <w:lang w:eastAsia="zh-CN"/>
        </w:rPr>
        <w:t>在情报指挥中心落实</w:t>
      </w:r>
      <w:r>
        <w:rPr>
          <w:rFonts w:hint="eastAsia" w:ascii="仿宋_GB2312" w:eastAsia="仿宋_GB2312"/>
          <w:sz w:val="32"/>
          <w:szCs w:val="32"/>
        </w:rPr>
        <w:t>专人负责信息</w:t>
      </w:r>
      <w:r>
        <w:rPr>
          <w:rFonts w:hint="eastAsia" w:ascii="仿宋_GB2312" w:eastAsia="仿宋_GB2312"/>
          <w:sz w:val="32"/>
          <w:szCs w:val="32"/>
          <w:lang w:eastAsia="zh-CN"/>
        </w:rPr>
        <w:t>的</w:t>
      </w:r>
      <w:r>
        <w:rPr>
          <w:rFonts w:hint="eastAsia" w:ascii="仿宋_GB2312" w:eastAsia="仿宋_GB2312"/>
          <w:sz w:val="32"/>
          <w:szCs w:val="32"/>
        </w:rPr>
        <w:t>接收、流转、答复办理，</w:t>
      </w:r>
      <w:r>
        <w:rPr>
          <w:rFonts w:hint="eastAsia" w:ascii="仿宋_GB2312" w:eastAsia="仿宋_GB2312"/>
          <w:sz w:val="32"/>
          <w:szCs w:val="32"/>
          <w:lang w:eastAsia="zh-CN"/>
        </w:rPr>
        <w:t>全</w:t>
      </w:r>
      <w:r>
        <w:rPr>
          <w:rFonts w:hint="eastAsia" w:ascii="仿宋_GB2312" w:eastAsia="仿宋_GB2312"/>
          <w:sz w:val="32"/>
          <w:szCs w:val="32"/>
        </w:rPr>
        <w:t>年共收到</w:t>
      </w:r>
      <w:r>
        <w:rPr>
          <w:rFonts w:hint="eastAsia" w:ascii="仿宋_GB2312" w:eastAsia="仿宋_GB2312"/>
          <w:sz w:val="32"/>
          <w:szCs w:val="32"/>
          <w:lang w:eastAsia="zh-CN"/>
        </w:rPr>
        <w:t>各类办理件</w:t>
      </w:r>
      <w:r>
        <w:rPr>
          <w:rFonts w:hint="eastAsia" w:ascii="仿宋_GB2312" w:eastAsia="仿宋_GB2312"/>
          <w:sz w:val="32"/>
          <w:szCs w:val="32"/>
          <w:lang w:val="en-US" w:eastAsia="zh-CN"/>
        </w:rPr>
        <w:t>26</w:t>
      </w:r>
      <w:r>
        <w:rPr>
          <w:rFonts w:hint="eastAsia" w:ascii="仿宋_GB2312" w:eastAsia="仿宋_GB2312"/>
          <w:sz w:val="32"/>
          <w:szCs w:val="32"/>
        </w:rPr>
        <w:t>条，均已全部答复办理。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依申请公开情况</w:t>
      </w:r>
      <w:r>
        <w:rPr>
          <w:rFonts w:hint="eastAsia" w:ascii="楷体_GB2312" w:hAnsi="楷体_GB2312" w:eastAsia="楷体_GB2312" w:cs="楷体_GB2312"/>
          <w:sz w:val="32"/>
          <w:szCs w:val="32"/>
        </w:rPr>
        <w:t>。</w:t>
      </w:r>
      <w:r>
        <w:rPr>
          <w:rFonts w:hint="eastAsia" w:ascii="仿宋_GB2312" w:hAnsi="仿宋_GB2312" w:eastAsia="仿宋_GB2312"/>
          <w:sz w:val="32"/>
          <w:szCs w:val="32"/>
          <w:lang w:val="en-US" w:eastAsia="zh-CN"/>
        </w:rPr>
        <w:t>本年度共收到依申请公开件6件，其中公开2件、撤销申请1件、申请人无正当理由逾期不补正1件、无法提供2件。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政府信息管理情况</w:t>
      </w:r>
      <w:r>
        <w:rPr>
          <w:rFonts w:hint="eastAsia" w:ascii="楷体_GB2312" w:hAnsi="楷体_GB2312" w:eastAsia="楷体_GB2312" w:cs="楷体_GB2312"/>
          <w:sz w:val="32"/>
          <w:szCs w:val="32"/>
        </w:rPr>
        <w:t>。</w:t>
      </w:r>
      <w:r>
        <w:rPr>
          <w:rFonts w:hint="eastAsia" w:ascii="仿宋_GB2312" w:hAnsi="仿宋_GB2312" w:eastAsia="仿宋_GB2312"/>
          <w:sz w:val="32"/>
          <w:szCs w:val="32"/>
        </w:rPr>
        <w:t>以“公开为常态，不公开为例外”，按照“应公开尽公开”原则，从决策、执行、管理、服务、结果五个层面逐一明确公开的内容、范围、清单；</w:t>
      </w:r>
      <w:r>
        <w:rPr>
          <w:rFonts w:hint="eastAsia" w:ascii="仿宋_GB2312" w:hAnsi="仿宋_GB2312" w:eastAsia="仿宋_GB2312"/>
          <w:sz w:val="32"/>
          <w:szCs w:val="32"/>
          <w:lang w:eastAsia="zh-CN"/>
        </w:rPr>
        <w:t>分</w:t>
      </w:r>
      <w:r>
        <w:rPr>
          <w:rFonts w:hint="eastAsia" w:ascii="仿宋_GB2312" w:hAnsi="仿宋_GB2312" w:eastAsia="仿宋_GB2312"/>
          <w:sz w:val="32"/>
          <w:szCs w:val="32"/>
        </w:rPr>
        <w:t>局办公室主要负责政府信息网站相关栏目内容公开；政治处主要负责微警务信息公开和舆情导控；法制大队主要负责行政处罚结果公开和依申请公开办理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按照“谁主管、谁负责”原则，逐一明确审核把关和政策解读责任部门，确保相关文件、执法事项、服务事项第一时间在相关平台公开发布。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平台建设情况</w:t>
      </w:r>
      <w:r>
        <w:rPr>
          <w:rFonts w:hint="eastAsia" w:ascii="楷体_GB2312" w:hAnsi="楷体_GB2312" w:eastAsia="楷体_GB2312" w:cs="楷体_GB2312"/>
          <w:sz w:val="32"/>
          <w:szCs w:val="32"/>
        </w:rPr>
        <w:t>。</w:t>
      </w:r>
      <w:r>
        <w:rPr>
          <w:rFonts w:hint="eastAsia" w:ascii="仿宋_GB2312" w:hAnsi="仿宋_GB2312" w:eastAsia="仿宋_GB2312"/>
          <w:sz w:val="32"/>
          <w:szCs w:val="32"/>
          <w:lang w:eastAsia="zh-CN"/>
        </w:rPr>
        <w:t>在以奉化</w:t>
      </w:r>
      <w:r>
        <w:rPr>
          <w:rFonts w:hint="eastAsia" w:ascii="仿宋_GB2312" w:hAnsi="仿宋_GB2312" w:eastAsia="仿宋_GB2312"/>
          <w:sz w:val="32"/>
          <w:szCs w:val="32"/>
          <w:lang w:val="en-US" w:eastAsia="zh-CN"/>
        </w:rPr>
        <w:t>区政府信息公开网（http://www.fh.gov.cn/col/col1229165271/index.html）作为主要网络公开平台的同时，我局还通过浙江政务服务网、“奉化公安”“奉化交警”微信公众号等媒体及时公开政府信息，并按照“能上尽上”的原则，</w:t>
      </w:r>
      <w:r>
        <w:rPr>
          <w:rFonts w:hint="eastAsia" w:ascii="仿宋_GB2312" w:hAnsi="仿宋_GB2312" w:eastAsia="仿宋_GB2312"/>
          <w:sz w:val="32"/>
          <w:szCs w:val="32"/>
        </w:rPr>
        <w:t>最大限度将公安行政审批和服务事项搬上平台，公开办理须知、办理程序，最大限度实现不见面办理或“最多跑一次”。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sz w:val="32"/>
          <w:szCs w:val="32"/>
          <w:lang w:val="en-US" w:eastAsia="zh-CN"/>
        </w:rPr>
      </w:pP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val="en-US" w:eastAsia="zh-CN"/>
        </w:rPr>
        <w:t>监督保障情况</w:t>
      </w:r>
      <w:r>
        <w:rPr>
          <w:rFonts w:hint="eastAsia" w:ascii="楷体_GB2312" w:hAnsi="楷体_GB2312" w:eastAsia="楷体_GB2312" w:cs="楷体_GB2312"/>
          <w:sz w:val="32"/>
          <w:szCs w:val="32"/>
        </w:rPr>
        <w:t>。</w:t>
      </w:r>
      <w:r>
        <w:rPr>
          <w:rFonts w:hint="eastAsia" w:ascii="仿宋_GB2312" w:hAnsi="仿宋_GB2312" w:eastAsia="仿宋_GB2312"/>
          <w:sz w:val="32"/>
          <w:szCs w:val="32"/>
          <w:lang w:val="en-US" w:eastAsia="zh-CN"/>
        </w:rPr>
        <w:t>在网站公布信息公开监督及咨询电话，</w:t>
      </w:r>
      <w:r>
        <w:rPr>
          <w:rFonts w:hint="eastAsia" w:ascii="仿宋_GB2312" w:hAnsi="仿宋_GB2312" w:eastAsia="仿宋_GB2312"/>
          <w:sz w:val="32"/>
          <w:szCs w:val="32"/>
        </w:rPr>
        <w:t>明确将政务公开内容纳入各相关单位和部门年度考核，办公室、政治处、法制大队等牵头部门强化做好日常监督，</w:t>
      </w:r>
      <w:r>
        <w:rPr>
          <w:rFonts w:hint="eastAsia" w:ascii="仿宋_GB2312" w:hAnsi="仿宋_GB2312" w:eastAsia="仿宋_GB2312"/>
          <w:sz w:val="32"/>
          <w:szCs w:val="32"/>
          <w:lang w:eastAsia="zh-CN"/>
        </w:rPr>
        <w:t>对存在问题的部门点对点下发提醒函，督促限期整改，</w:t>
      </w:r>
      <w:r>
        <w:rPr>
          <w:rFonts w:hint="eastAsia" w:ascii="仿宋_GB2312" w:hAnsi="仿宋_GB2312" w:eastAsia="仿宋_GB2312"/>
          <w:sz w:val="32"/>
          <w:szCs w:val="32"/>
        </w:rPr>
        <w:t>确保政务公开工作依法依规进行。</w:t>
      </w:r>
      <w:r>
        <w:rPr>
          <w:rFonts w:hint="eastAsia" w:ascii="仿宋_GB2312" w:hAnsi="仿宋_GB2312" w:eastAsia="仿宋_GB2312"/>
          <w:sz w:val="32"/>
          <w:szCs w:val="32"/>
          <w:lang w:eastAsia="zh-CN"/>
        </w:rPr>
        <w:t>开展信息公开社会评议调查，管饭听取公民、法人和其他社会组织对政府信息公开工作的批评、意见和建议。</w:t>
      </w:r>
      <w:r>
        <w:rPr>
          <w:rFonts w:hint="eastAsia" w:ascii="仿宋_GB2312" w:hAnsi="仿宋_GB2312" w:eastAsia="仿宋_GB2312"/>
          <w:sz w:val="32"/>
          <w:szCs w:val="32"/>
          <w:lang w:val="en-US" w:eastAsia="zh-CN"/>
        </w:rPr>
        <w:t>2022年区公安分局未发生政府信息公开工作责任追究情况。</w:t>
      </w:r>
    </w:p>
    <w:p>
      <w:pPr>
        <w:spacing w:line="600" w:lineRule="exact"/>
        <w:ind w:firstLine="640" w:firstLineChars="200"/>
        <w:rPr>
          <w:rFonts w:hint="eastAsia" w:ascii="黑体" w:hAnsi="黑体" w:eastAsia="黑体" w:cs="仿宋"/>
          <w:sz w:val="32"/>
          <w:szCs w:val="32"/>
          <w:lang w:bidi="ar-SA"/>
        </w:rPr>
      </w:pPr>
      <w:r>
        <w:rPr>
          <w:rFonts w:hint="eastAsia" w:ascii="黑体" w:hAnsi="黑体" w:eastAsia="黑体" w:cs="仿宋"/>
          <w:sz w:val="32"/>
          <w:szCs w:val="32"/>
          <w:lang w:bidi="ar-SA"/>
        </w:rPr>
        <w:t>二、主动公开政府信息情况</w:t>
      </w:r>
    </w:p>
    <w:tbl>
      <w:tblPr>
        <w:tblStyle w:val="5"/>
        <w:tblW w:w="7977" w:type="dxa"/>
        <w:jc w:val="center"/>
        <w:tblLayout w:type="autofit"/>
        <w:tblCellMar>
          <w:top w:w="0" w:type="dxa"/>
          <w:left w:w="0" w:type="dxa"/>
          <w:bottom w:w="0" w:type="dxa"/>
          <w:right w:w="0" w:type="dxa"/>
        </w:tblCellMar>
      </w:tblPr>
      <w:tblGrid>
        <w:gridCol w:w="2484"/>
        <w:gridCol w:w="1416"/>
        <w:gridCol w:w="1416"/>
        <w:gridCol w:w="2661"/>
      </w:tblGrid>
      <w:tr>
        <w:tblPrEx>
          <w:tblCellMar>
            <w:top w:w="0" w:type="dxa"/>
            <w:left w:w="0" w:type="dxa"/>
            <w:bottom w:w="0" w:type="dxa"/>
            <w:right w:w="0" w:type="dxa"/>
          </w:tblCellMar>
        </w:tblPrEx>
        <w:trPr>
          <w:trHeight w:val="336" w:hRule="atLeast"/>
          <w:jc w:val="center"/>
        </w:trPr>
        <w:tc>
          <w:tcPr>
            <w:tcW w:w="7977"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612"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0" w:type="auto"/>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制发件数</w:t>
            </w:r>
          </w:p>
        </w:tc>
        <w:tc>
          <w:tcPr>
            <w:tcW w:w="0" w:type="auto"/>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废止件数</w:t>
            </w:r>
          </w:p>
        </w:tc>
        <w:tc>
          <w:tcPr>
            <w:tcW w:w="266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eastAsia="zh-CN"/>
              </w:rPr>
            </w:pPr>
            <w:r>
              <w:rPr>
                <w:rFonts w:hint="eastAsia"/>
                <w:lang w:eastAsia="zh-CN"/>
              </w:rPr>
              <w:t>现行有效件数</w:t>
            </w:r>
          </w:p>
        </w:tc>
      </w:tr>
      <w:tr>
        <w:tblPrEx>
          <w:tblCellMar>
            <w:top w:w="0" w:type="dxa"/>
            <w:left w:w="0" w:type="dxa"/>
            <w:bottom w:w="0" w:type="dxa"/>
            <w:right w:w="0" w:type="dxa"/>
          </w:tblCellMar>
        </w:tblPrEx>
        <w:trPr>
          <w:trHeight w:val="478"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规章</w:t>
            </w:r>
          </w:p>
        </w:tc>
        <w:tc>
          <w:tcPr>
            <w:tcW w:w="0" w:type="auto"/>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0" w:type="auto"/>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266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32"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行政</w:t>
            </w:r>
            <w:r>
              <w:rPr>
                <w:rFonts w:hint="eastAsia" w:ascii="宋体" w:hAnsi="宋体" w:eastAsia="宋体" w:cs="宋体"/>
                <w:color w:val="000000"/>
                <w:kern w:val="0"/>
                <w:sz w:val="20"/>
                <w:szCs w:val="20"/>
                <w:lang w:val="en-US" w:eastAsia="zh-CN" w:bidi="ar"/>
              </w:rPr>
              <w:t>规范性文件</w:t>
            </w:r>
          </w:p>
        </w:tc>
        <w:tc>
          <w:tcPr>
            <w:tcW w:w="0" w:type="auto"/>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0" w:type="auto"/>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266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80" w:hRule="atLeast"/>
          <w:jc w:val="center"/>
        </w:trPr>
        <w:tc>
          <w:tcPr>
            <w:tcW w:w="7977"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514"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493"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90"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行政许可</w:t>
            </w:r>
          </w:p>
        </w:tc>
        <w:tc>
          <w:tcPr>
            <w:tcW w:w="5493"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6587</w:t>
            </w:r>
          </w:p>
        </w:tc>
      </w:tr>
      <w:tr>
        <w:tblPrEx>
          <w:tblCellMar>
            <w:top w:w="0" w:type="dxa"/>
            <w:left w:w="0" w:type="dxa"/>
            <w:bottom w:w="0" w:type="dxa"/>
            <w:right w:w="0" w:type="dxa"/>
          </w:tblCellMar>
        </w:tblPrEx>
        <w:trPr>
          <w:trHeight w:val="372" w:hRule="atLeast"/>
          <w:jc w:val="center"/>
        </w:trPr>
        <w:tc>
          <w:tcPr>
            <w:tcW w:w="7977"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544"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493"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74"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行政处罚</w:t>
            </w:r>
          </w:p>
        </w:tc>
        <w:tc>
          <w:tcPr>
            <w:tcW w:w="5493"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135531</w:t>
            </w:r>
          </w:p>
        </w:tc>
      </w:tr>
      <w:tr>
        <w:tblPrEx>
          <w:tblCellMar>
            <w:top w:w="0" w:type="dxa"/>
            <w:left w:w="0" w:type="dxa"/>
            <w:bottom w:w="0" w:type="dxa"/>
            <w:right w:w="0" w:type="dxa"/>
          </w:tblCellMar>
        </w:tblPrEx>
        <w:trPr>
          <w:trHeight w:val="409"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行政强制</w:t>
            </w:r>
          </w:p>
        </w:tc>
        <w:tc>
          <w:tcPr>
            <w:tcW w:w="5493"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12526</w:t>
            </w:r>
          </w:p>
        </w:tc>
      </w:tr>
      <w:tr>
        <w:tblPrEx>
          <w:tblCellMar>
            <w:top w:w="0" w:type="dxa"/>
            <w:left w:w="0" w:type="dxa"/>
            <w:bottom w:w="0" w:type="dxa"/>
            <w:right w:w="0" w:type="dxa"/>
          </w:tblCellMar>
        </w:tblPrEx>
        <w:trPr>
          <w:trHeight w:val="474" w:hRule="atLeast"/>
          <w:jc w:val="center"/>
        </w:trPr>
        <w:tc>
          <w:tcPr>
            <w:tcW w:w="7977"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90"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信息内容</w:t>
            </w:r>
          </w:p>
        </w:tc>
        <w:tc>
          <w:tcPr>
            <w:tcW w:w="5493"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35" w:hRule="atLeast"/>
          <w:jc w:val="center"/>
        </w:trPr>
        <w:tc>
          <w:tcPr>
            <w:tcW w:w="2484"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行政事业性收费</w:t>
            </w:r>
          </w:p>
        </w:tc>
        <w:tc>
          <w:tcPr>
            <w:tcW w:w="5493"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bookmarkStart w:id="0" w:name="_GoBack"/>
            <w:bookmarkEnd w:id="0"/>
            <w:r>
              <w:rPr>
                <w:rFonts w:hint="eastAsia" w:ascii="宋体" w:hAnsi="宋体" w:cs="宋体"/>
                <w:color w:val="000000"/>
                <w:kern w:val="0"/>
                <w:sz w:val="20"/>
                <w:szCs w:val="20"/>
                <w:lang w:val="en-US" w:eastAsia="zh-CN" w:bidi="ar"/>
              </w:rPr>
              <w:t>0</w:t>
            </w:r>
          </w:p>
        </w:tc>
      </w:tr>
    </w:tbl>
    <w:p>
      <w:pPr>
        <w:pStyle w:val="2"/>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421"/>
        <w:gridCol w:w="700"/>
        <w:gridCol w:w="720"/>
        <w:gridCol w:w="750"/>
        <w:gridCol w:w="810"/>
        <w:gridCol w:w="794"/>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180"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70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自然人</w:t>
            </w:r>
          </w:p>
        </w:tc>
        <w:tc>
          <w:tcPr>
            <w:tcW w:w="378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7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商业企业</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科研机构</w:t>
            </w:r>
          </w:p>
        </w:tc>
        <w:tc>
          <w:tcPr>
            <w:tcW w:w="81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社会公益组织</w:t>
            </w:r>
          </w:p>
        </w:tc>
        <w:tc>
          <w:tcPr>
            <w:tcW w:w="79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一、本年新收政府信息公开申请数量</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6</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二、上年结转政府信息公开申请数量</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327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2</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327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4.保护第三方合法权益</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2</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3"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00"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2</w:t>
            </w:r>
          </w:p>
        </w:tc>
        <w:tc>
          <w:tcPr>
            <w:tcW w:w="720" w:type="dxa"/>
            <w:tcBorders>
              <w:top w:val="nil"/>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854" w:type="dxa"/>
            <w:vMerge w:val="continue"/>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00"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20"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left w:val="nil"/>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854"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24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3.其他</w:t>
            </w:r>
          </w:p>
        </w:tc>
        <w:tc>
          <w:tcPr>
            <w:tcW w:w="700"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20" w:type="dxa"/>
            <w:tcBorders>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327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6</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Calibri" w:eastAsia="宋体" w:cs="Times New Roman"/>
                <w:kern w:val="2"/>
                <w:sz w:val="24"/>
                <w:szCs w:val="24"/>
                <w:lang w:val="en-US" w:eastAsia="zh-CN" w:bidi="ar-SA"/>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宋体" w:hAnsi="宋体" w:eastAsia="宋体" w:cs="宋体"/>
          <w:i w:val="0"/>
          <w:caps w:val="0"/>
          <w:color w:val="333333"/>
          <w:spacing w:val="0"/>
          <w:sz w:val="24"/>
          <w:szCs w:val="24"/>
        </w:rPr>
      </w:pPr>
      <w:r>
        <w:rPr>
          <w:rFonts w:hint="eastAsia" w:ascii="黑体" w:hAnsi="黑体" w:eastAsia="黑体" w:cs="仿宋"/>
          <w:sz w:val="32"/>
          <w:szCs w:val="32"/>
          <w:lang w:bidi="ar-SA"/>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仿宋"/>
          <w:sz w:val="32"/>
          <w:szCs w:val="32"/>
          <w:lang w:eastAsia="zh-CN" w:bidi="ar-SA"/>
        </w:rPr>
      </w:pPr>
      <w:r>
        <w:rPr>
          <w:rFonts w:hint="eastAsia" w:ascii="黑体" w:hAnsi="黑体" w:eastAsia="黑体" w:cs="仿宋"/>
          <w:sz w:val="32"/>
          <w:szCs w:val="32"/>
          <w:lang w:bidi="ar-SA"/>
        </w:rPr>
        <w:t>五、存在的主要问题及改进</w:t>
      </w:r>
      <w:r>
        <w:rPr>
          <w:rFonts w:hint="eastAsia" w:ascii="黑体" w:hAnsi="黑体" w:eastAsia="黑体" w:cs="仿宋"/>
          <w:sz w:val="32"/>
          <w:szCs w:val="32"/>
          <w:lang w:eastAsia="zh-CN" w:bidi="ar-SA"/>
        </w:rPr>
        <w:t>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随着政务公开工作的现实任务和外部环境不断发生着新的变化，面对新形势新要求，我局政务公开工作仍然存在一些不足之处，主要表现在: </w:t>
      </w:r>
      <w:r>
        <w:rPr>
          <w:rFonts w:hint="eastAsia" w:ascii="楷体_GB2312" w:hAnsi="楷体_GB2312" w:eastAsia="楷体_GB2312" w:cs="楷体_GB2312"/>
          <w:sz w:val="32"/>
          <w:szCs w:val="32"/>
          <w:lang w:val="en-US" w:eastAsia="zh-CN"/>
        </w:rPr>
        <w:t>一是</w:t>
      </w:r>
      <w:r>
        <w:rPr>
          <w:rFonts w:hint="eastAsia" w:ascii="仿宋_GB2312" w:eastAsia="仿宋_GB2312" w:cs="Times New Roman"/>
          <w:kern w:val="2"/>
          <w:sz w:val="32"/>
          <w:szCs w:val="32"/>
          <w:lang w:val="en-US" w:eastAsia="zh-CN" w:bidi="ar-SA"/>
        </w:rPr>
        <w:t>个别单位对政务公开理解不深入，思想上没有引起足够重视，工作上缺乏主动性和积极性，导致部分应公开事项还存在公开不及时的现象；</w:t>
      </w:r>
      <w:r>
        <w:rPr>
          <w:rFonts w:hint="eastAsia" w:ascii="楷体_GB2312" w:hAnsi="楷体_GB2312" w:eastAsia="楷体_GB2312" w:cs="楷体_GB2312"/>
          <w:sz w:val="32"/>
          <w:szCs w:val="32"/>
          <w:lang w:val="en-US" w:eastAsia="zh-CN"/>
        </w:rPr>
        <w:t>二是</w:t>
      </w:r>
      <w:r>
        <w:rPr>
          <w:rFonts w:hint="eastAsia" w:ascii="仿宋_GB2312" w:eastAsia="仿宋_GB2312" w:cs="Times New Roman"/>
          <w:kern w:val="2"/>
          <w:sz w:val="32"/>
          <w:szCs w:val="32"/>
          <w:lang w:val="en-US" w:eastAsia="zh-CN" w:bidi="ar-SA"/>
        </w:rPr>
        <w:t>政务公开政策解读形式单一，多以文字说明为主，缺乏工作亮点和创新；</w:t>
      </w:r>
      <w:r>
        <w:rPr>
          <w:rFonts w:hint="eastAsia" w:ascii="楷体_GB2312" w:hAnsi="楷体_GB2312" w:eastAsia="楷体_GB2312" w:cs="楷体_GB2312"/>
          <w:sz w:val="32"/>
          <w:szCs w:val="32"/>
          <w:lang w:val="en-US" w:eastAsia="zh-CN"/>
        </w:rPr>
        <w:t>三是</w:t>
      </w:r>
      <w:r>
        <w:rPr>
          <w:rFonts w:hint="eastAsia" w:ascii="仿宋_GB2312" w:eastAsia="仿宋_GB2312" w:cs="Times New Roman"/>
          <w:kern w:val="2"/>
          <w:sz w:val="32"/>
          <w:szCs w:val="32"/>
          <w:lang w:val="en-US" w:eastAsia="zh-CN" w:bidi="ar-SA"/>
        </w:rPr>
        <w:t>本单位电子政务公开工作的相关文件和规章制度仍需进一步完善。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针对存在的问题，我局将在下一步工作中通过以下几个方面加以改进: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（一）主动加强学习，提高思想认识</w:t>
      </w:r>
      <w:r>
        <w:rPr>
          <w:rFonts w:hint="eastAsia" w:ascii="仿宋_GB2312" w:eastAsia="仿宋_GB2312" w:cs="Times New Roman"/>
          <w:kern w:val="2"/>
          <w:sz w:val="32"/>
          <w:szCs w:val="32"/>
          <w:lang w:val="en-US" w:eastAsia="zh-CN" w:bidi="ar-SA"/>
        </w:rPr>
        <w:t>。政务公开工作是一项长期的重要工作，需要主动学习、与时俱进，要进一步统一和提高广大干警，特别是领导的思想认识，扎实做好政务公开各项工作，确保信息公开及时准确。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（二）积极探索创新，丰富公开形式。</w:t>
      </w:r>
      <w:r>
        <w:rPr>
          <w:rFonts w:hint="eastAsia" w:ascii="仿宋_GB2312" w:eastAsia="仿宋_GB2312" w:cs="Times New Roman"/>
          <w:kern w:val="2"/>
          <w:sz w:val="32"/>
          <w:szCs w:val="32"/>
          <w:lang w:val="en-US" w:eastAsia="zh-CN" w:bidi="ar-SA"/>
        </w:rPr>
        <w:t>结合门户网站、新媒体等平台，打造全方位互联网政务公开环境，将信息通过图文、动画、视频、调查问卷等形式进行发布、解读，确保群众“看得到、听得懂、易获取、能监督、好参与”。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（三）建立长效机制，加大督导检查力度。</w:t>
      </w:r>
      <w:r>
        <w:rPr>
          <w:rFonts w:hint="eastAsia" w:ascii="仿宋_GB2312" w:eastAsia="仿宋_GB2312" w:cs="Times New Roman"/>
          <w:kern w:val="2"/>
          <w:sz w:val="32"/>
          <w:szCs w:val="32"/>
          <w:lang w:val="en-US" w:eastAsia="zh-CN" w:bidi="ar-SA"/>
        </w:rPr>
        <w:t>结合公安工作实际，建立和完善政府信息公开内容审查考核评估、新闻发布、政策解读等工作制度，确保单位各类信息公示制度化、规范化。对局属各部门相关工作落实情况要定期进行督导检查，强化结果运用，把政务公开纳入年终绩效考评内容，深入、持续、高效地推动政务公开工作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仿宋"/>
          <w:sz w:val="32"/>
          <w:szCs w:val="32"/>
          <w:lang w:bidi="ar-SA"/>
        </w:rPr>
      </w:pPr>
      <w:r>
        <w:rPr>
          <w:rFonts w:hint="eastAsia" w:ascii="黑体" w:hAnsi="黑体" w:eastAsia="黑体" w:cs="仿宋"/>
          <w:sz w:val="32"/>
          <w:szCs w:val="32"/>
          <w:lang w:bidi="ar-SA"/>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未收取任何信息处理费用。</w:t>
      </w: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eastAsia" w:ascii="仿宋_GB2312" w:eastAsia="仿宋_GB2312"/>
          <w:sz w:val="32"/>
          <w:szCs w:val="32"/>
        </w:rPr>
      </w:pPr>
      <w:r>
        <w:rPr>
          <w:rFonts w:hint="eastAsia" w:ascii="仿宋_GB2312" w:eastAsia="仿宋_GB2312"/>
          <w:sz w:val="32"/>
          <w:szCs w:val="32"/>
        </w:rPr>
        <w:t>宁波市公安局奉化分局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jc w:val="right"/>
        <w:textAlignment w:val="auto"/>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年1月</w:t>
      </w:r>
      <w:r>
        <w:rPr>
          <w:rFonts w:hint="eastAsia" w:ascii="仿宋_GB2312" w:eastAsia="仿宋_GB2312"/>
          <w:sz w:val="32"/>
          <w:szCs w:val="32"/>
          <w:lang w:val="en-US" w:eastAsia="zh-CN"/>
        </w:rPr>
        <w:t>11</w:t>
      </w:r>
      <w:r>
        <w:rPr>
          <w:rFonts w:hint="eastAsia" w:ascii="仿宋_GB2312" w:eastAsia="仿宋_GB2312"/>
          <w:sz w:val="32"/>
          <w:szCs w:val="32"/>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ODNmM2U1ZDIwNDI0MDA5M2Y0Mjc2MjFkNGQ3NjQifQ=="/>
  </w:docVars>
  <w:rsids>
    <w:rsidRoot w:val="3F5E11A2"/>
    <w:rsid w:val="21426453"/>
    <w:rsid w:val="3C101F4E"/>
    <w:rsid w:val="3C8618CD"/>
    <w:rsid w:val="3D567E34"/>
    <w:rsid w:val="3F5E11A2"/>
    <w:rsid w:val="48EB7FCA"/>
    <w:rsid w:val="6DE10AC9"/>
    <w:rsid w:val="6EE60768"/>
    <w:rsid w:val="7CEF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1"/>
      <w:szCs w:val="22"/>
      <w:lang w:val="en-US" w:eastAsia="zh-CN" w:bidi="ar-SA"/>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2625</Words>
  <Characters>2769</Characters>
  <Lines>0</Lines>
  <Paragraphs>0</Paragraphs>
  <TotalTime>33</TotalTime>
  <ScaleCrop>false</ScaleCrop>
  <LinksUpToDate>false</LinksUpToDate>
  <CharactersWithSpaces>2770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2023-01-10T09:05:00Z</dcterms:created>
  <dc:creator>wsmdmtqfmdthkl</dc:creator>
  <cp:lastModifiedBy>wsmdmtqfmdthkl</cp:lastModifiedBy>
  <dcterms:modified xsi:type="dcterms:W3CDTF">2023-01-11T08:28:07Z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F69F6BBD6D9C4E73B746E4D38E747597</vt:lpwstr>
  </property>
</Properties>
</file>