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创艺简标宋" w:hAnsi="黑体" w:eastAsia="创艺简标宋"/>
          <w:sz w:val="36"/>
          <w:szCs w:val="36"/>
        </w:rPr>
      </w:pPr>
      <w:r>
        <w:rPr>
          <w:rFonts w:hint="eastAsia" w:ascii="创艺简标宋" w:hAnsi="黑体" w:eastAsia="创艺简标宋"/>
          <w:sz w:val="36"/>
          <w:szCs w:val="36"/>
        </w:rPr>
        <w:t>关于《</w:t>
      </w:r>
      <w:r>
        <w:rPr>
          <w:rFonts w:hint="eastAsia" w:ascii="创艺简标宋" w:hAnsi="黑体" w:eastAsia="创艺简标宋"/>
          <w:sz w:val="36"/>
          <w:szCs w:val="36"/>
          <w:lang w:eastAsia="zh-CN"/>
        </w:rPr>
        <w:t>宁波市奉化区科技计划项目管</w:t>
      </w:r>
      <w:bookmarkStart w:id="0" w:name="_GoBack"/>
      <w:bookmarkEnd w:id="0"/>
      <w:r>
        <w:rPr>
          <w:rFonts w:hint="eastAsia" w:ascii="创艺简标宋" w:hAnsi="黑体" w:eastAsia="创艺简标宋"/>
          <w:sz w:val="36"/>
          <w:szCs w:val="36"/>
          <w:lang w:eastAsia="zh-CN"/>
        </w:rPr>
        <w:t>理办法（修订）</w:t>
      </w:r>
      <w:r>
        <w:rPr>
          <w:rFonts w:hint="eastAsia" w:ascii="创艺简标宋" w:hAnsi="黑体" w:eastAsia="创艺简标宋"/>
          <w:sz w:val="36"/>
          <w:szCs w:val="36"/>
        </w:rPr>
        <w:t>》的起草说明</w:t>
      </w:r>
    </w:p>
    <w:p>
      <w:pPr>
        <w:spacing w:line="580" w:lineRule="exact"/>
        <w:ind w:firstLine="640" w:firstLineChars="200"/>
        <w:rPr>
          <w:rFonts w:ascii="黑体" w:hAnsi="黑体" w:eastAsia="黑体"/>
          <w:sz w:val="32"/>
        </w:rPr>
      </w:pPr>
    </w:p>
    <w:p>
      <w:pPr>
        <w:spacing w:line="580" w:lineRule="exact"/>
        <w:ind w:firstLine="640" w:firstLineChars="200"/>
        <w:rPr>
          <w:rFonts w:ascii="黑体" w:hAnsi="黑体" w:eastAsia="黑体"/>
          <w:sz w:val="32"/>
        </w:rPr>
      </w:pPr>
      <w:r>
        <w:rPr>
          <w:rFonts w:hint="eastAsia" w:ascii="黑体" w:hAnsi="黑体" w:eastAsia="黑体"/>
          <w:sz w:val="32"/>
        </w:rPr>
        <w:t>一、起草背景</w:t>
      </w:r>
    </w:p>
    <w:p>
      <w:pPr>
        <w:widowControl/>
        <w:ind w:firstLine="640" w:firstLineChars="200"/>
        <w:jc w:val="left"/>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为规范宁波市奉化区科技计划项目管理，</w:t>
      </w:r>
      <w:r>
        <w:rPr>
          <w:rFonts w:hint="eastAsia" w:ascii="仿宋_GB2312" w:hAnsi="仿宋_GB2312" w:eastAsia="仿宋_GB2312" w:cs="仿宋_GB2312"/>
          <w:color w:val="auto"/>
          <w:sz w:val="32"/>
          <w:szCs w:val="32"/>
          <w:lang w:eastAsia="zh-CN"/>
        </w:rPr>
        <w:t>明确责任、权利和义务，提高财政资金使用绩效，</w:t>
      </w:r>
      <w:r>
        <w:rPr>
          <w:rFonts w:hint="eastAsia" w:ascii="仿宋_GB2312" w:hAnsi="仿宋_GB2312" w:eastAsia="仿宋_GB2312" w:cs="仿宋_GB2312"/>
          <w:color w:val="auto"/>
          <w:sz w:val="32"/>
          <w:szCs w:val="32"/>
        </w:rPr>
        <w:t>依据《</w:t>
      </w:r>
      <w:r>
        <w:rPr>
          <w:rFonts w:hint="eastAsia" w:ascii="仿宋_GB2312" w:hAnsi="仿宋_GB2312" w:eastAsia="仿宋_GB2312" w:cs="仿宋_GB2312"/>
          <w:color w:val="auto"/>
          <w:sz w:val="32"/>
          <w:szCs w:val="32"/>
          <w:lang w:eastAsia="zh-CN"/>
        </w:rPr>
        <w:t>国务院办公厅关于改革完善中央财政科研经费管理的若干意见</w:t>
      </w:r>
      <w:r>
        <w:rPr>
          <w:rFonts w:hint="eastAsia" w:ascii="仿宋_GB2312" w:hAnsi="仿宋_GB2312" w:eastAsia="仿宋_GB2312" w:cs="仿宋_GB2312"/>
          <w:color w:val="auto"/>
          <w:sz w:val="32"/>
          <w:szCs w:val="32"/>
        </w:rPr>
        <w:t>》（国</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发〔20</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《浙江省人民政府办公厅关于改革完善省财政科研经费管理的实施意见》（浙政办发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《宁波市科技计划项目管理办法（修订）》甬科计〔2018〕61号 、《宁波市科技</w:t>
      </w:r>
      <w:r>
        <w:rPr>
          <w:rFonts w:hint="eastAsia" w:ascii="仿宋_GB2312" w:hAnsi="仿宋_GB2312" w:eastAsia="仿宋_GB2312" w:cs="仿宋_GB2312"/>
          <w:color w:val="auto"/>
          <w:sz w:val="32"/>
          <w:szCs w:val="32"/>
          <w:lang w:eastAsia="zh-CN"/>
        </w:rPr>
        <w:t>发展专项资金</w:t>
      </w:r>
      <w:r>
        <w:rPr>
          <w:rFonts w:hint="eastAsia" w:ascii="仿宋_GB2312" w:hAnsi="仿宋_GB2312" w:eastAsia="仿宋_GB2312" w:cs="仿宋_GB2312"/>
          <w:color w:val="auto"/>
          <w:sz w:val="32"/>
          <w:szCs w:val="32"/>
        </w:rPr>
        <w:t>管理办法（修订）》甬科</w:t>
      </w:r>
      <w:r>
        <w:rPr>
          <w:rFonts w:hint="eastAsia" w:ascii="仿宋_GB2312" w:hAnsi="仿宋_GB2312" w:eastAsia="仿宋_GB2312" w:cs="仿宋_GB2312"/>
          <w:color w:val="auto"/>
          <w:sz w:val="32"/>
          <w:szCs w:val="32"/>
          <w:lang w:eastAsia="zh-CN"/>
        </w:rPr>
        <w:t>资</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36</w:t>
      </w:r>
      <w:r>
        <w:rPr>
          <w:rFonts w:hint="eastAsia" w:ascii="仿宋_GB2312" w:hAnsi="仿宋_GB2312" w:eastAsia="仿宋_GB2312" w:cs="仿宋_GB2312"/>
          <w:color w:val="auto"/>
          <w:sz w:val="32"/>
          <w:szCs w:val="32"/>
        </w:rPr>
        <w:t>号 《</w:t>
      </w:r>
      <w:r>
        <w:rPr>
          <w:rFonts w:hint="eastAsia" w:ascii="仿宋_GB2312" w:hAnsi="仿宋_GB2312" w:eastAsia="仿宋_GB2312" w:cs="仿宋_GB2312"/>
          <w:color w:val="auto"/>
          <w:sz w:val="32"/>
          <w:szCs w:val="32"/>
          <w:lang w:eastAsia="zh-CN"/>
        </w:rPr>
        <w:t>宁波市奉化区科技计划项目管理办法</w:t>
      </w:r>
      <w:r>
        <w:rPr>
          <w:rFonts w:hint="eastAsia" w:ascii="仿宋_GB2312" w:hAnsi="仿宋_GB2312" w:eastAsia="仿宋_GB2312" w:cs="仿宋_GB2312"/>
          <w:color w:val="auto"/>
          <w:sz w:val="32"/>
          <w:szCs w:val="32"/>
        </w:rPr>
        <w:t>》（奉科〔201</w:t>
      </w:r>
      <w:r>
        <w:rPr>
          <w:rFonts w:hint="eastAsia" w:ascii="仿宋_GB2312" w:hAnsi="仿宋_GB2312" w:eastAsia="仿宋_GB2312" w:cs="仿宋_GB2312"/>
          <w:color w:val="auto"/>
          <w:sz w:val="32"/>
          <w:szCs w:val="32"/>
          <w:lang w:eastAsia="zh-CN"/>
        </w:rPr>
        <w:t>9</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rPr>
        <w:t>号）等有关规定，结合我区实际，制定本办法。</w:t>
      </w:r>
    </w:p>
    <w:p>
      <w:pPr>
        <w:spacing w:line="580" w:lineRule="exact"/>
        <w:ind w:firstLine="640" w:firstLineChars="200"/>
        <w:rPr>
          <w:rFonts w:ascii="黑体" w:hAnsi="黑体" w:eastAsia="黑体"/>
          <w:sz w:val="32"/>
        </w:rPr>
      </w:pPr>
      <w:r>
        <w:rPr>
          <w:rFonts w:hint="eastAsia" w:ascii="黑体" w:hAnsi="黑体" w:eastAsia="黑体"/>
          <w:sz w:val="32"/>
        </w:rPr>
        <w:t>二、主要内容</w:t>
      </w:r>
    </w:p>
    <w:p>
      <w:pPr>
        <w:spacing w:line="580" w:lineRule="exact"/>
        <w:ind w:firstLine="640" w:firstLineChars="200"/>
        <w:rPr>
          <w:rFonts w:hint="eastAsia" w:ascii="仿宋_GB2312" w:hAnsi="黑体" w:cs="Times New Roman"/>
          <w:sz w:val="32"/>
          <w:lang w:eastAsia="zh-CN"/>
        </w:rPr>
      </w:pPr>
      <w:r>
        <w:rPr>
          <w:rFonts w:hint="eastAsia" w:ascii="仿宋_GB2312" w:hAnsi="黑体" w:cs="Times New Roman"/>
          <w:sz w:val="32"/>
          <w:lang w:eastAsia="zh-CN"/>
        </w:rPr>
        <w:t>一、总则</w:t>
      </w:r>
    </w:p>
    <w:p>
      <w:pPr>
        <w:pStyle w:val="2"/>
        <w:ind w:left="0" w:leftChars="0" w:firstLine="640" w:firstLineChars="200"/>
        <w:rPr>
          <w:rFonts w:hint="eastAsia" w:ascii="仿宋_GB2312" w:hAnsi="仿宋_GB2312" w:cs="仿宋_GB2312"/>
          <w:color w:val="auto"/>
          <w:kern w:val="0"/>
          <w:sz w:val="32"/>
          <w:szCs w:val="32"/>
          <w:lang w:eastAsia="zh-CN"/>
        </w:rPr>
      </w:pPr>
      <w:r>
        <w:rPr>
          <w:rFonts w:hint="eastAsia" w:ascii="仿宋_GB2312" w:hAnsi="黑体" w:cs="Times New Roman"/>
          <w:kern w:val="2"/>
          <w:sz w:val="32"/>
          <w:szCs w:val="22"/>
          <w:lang w:val="en-US" w:eastAsia="zh-CN" w:bidi="ar-SA"/>
        </w:rPr>
        <w:t>二、</w:t>
      </w:r>
      <w:r>
        <w:rPr>
          <w:rFonts w:hint="eastAsia" w:ascii="仿宋_GB2312" w:hAnsi="黑体" w:eastAsia="仿宋_GB2312" w:cs="Times New Roman"/>
          <w:kern w:val="2"/>
          <w:sz w:val="32"/>
          <w:szCs w:val="22"/>
          <w:lang w:val="en-US" w:eastAsia="zh-CN" w:bidi="ar-SA"/>
        </w:rPr>
        <w:t>计划体系</w:t>
      </w:r>
      <w:r>
        <w:rPr>
          <w:rFonts w:hint="eastAsia" w:ascii="仿宋_GB2312" w:hAnsi="黑体" w:cs="Times New Roman"/>
          <w:kern w:val="2"/>
          <w:sz w:val="32"/>
          <w:szCs w:val="22"/>
          <w:lang w:val="en-US" w:eastAsia="zh-CN" w:bidi="ar-SA"/>
        </w:rPr>
        <w:t>：</w:t>
      </w:r>
      <w:r>
        <w:rPr>
          <w:rFonts w:hint="eastAsia" w:ascii="仿宋_GB2312" w:hAnsi="仿宋_GB2312" w:eastAsia="仿宋_GB2312" w:cs="仿宋_GB2312"/>
          <w:color w:val="auto"/>
          <w:kern w:val="0"/>
          <w:sz w:val="32"/>
          <w:szCs w:val="32"/>
        </w:rPr>
        <w:t>由工业、农业与社会发展科技计划、自然科学基金与软科学计划</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技术创新引导计划和</w:t>
      </w:r>
      <w:r>
        <w:rPr>
          <w:rFonts w:hint="eastAsia" w:ascii="仿宋_GB2312" w:hAnsi="仿宋_GB2312" w:eastAsia="仿宋_GB2312" w:cs="仿宋_GB2312"/>
          <w:color w:val="auto"/>
          <w:kern w:val="0"/>
          <w:sz w:val="32"/>
          <w:szCs w:val="32"/>
          <w:shd w:val="clear" w:color="auto" w:fill="FFFFFF"/>
        </w:rPr>
        <w:t>科技基础条件与平台建设计划</w:t>
      </w:r>
      <w:r>
        <w:rPr>
          <w:rFonts w:hint="eastAsia" w:ascii="仿宋_GB2312" w:hAnsi="仿宋_GB2312" w:eastAsia="仿宋_GB2312" w:cs="仿宋_GB2312"/>
          <w:color w:val="auto"/>
          <w:kern w:val="0"/>
          <w:sz w:val="32"/>
          <w:szCs w:val="32"/>
          <w:shd w:val="clear" w:color="auto" w:fill="FFFFFF"/>
          <w:lang w:val="en-US" w:eastAsia="zh-CN"/>
        </w:rPr>
        <w:t>4</w:t>
      </w:r>
      <w:r>
        <w:rPr>
          <w:rFonts w:hint="eastAsia" w:ascii="仿宋_GB2312" w:hAnsi="仿宋_GB2312" w:eastAsia="仿宋_GB2312" w:cs="仿宋_GB2312"/>
          <w:color w:val="auto"/>
          <w:kern w:val="0"/>
          <w:sz w:val="32"/>
          <w:szCs w:val="32"/>
        </w:rPr>
        <w:t>个计划构成</w:t>
      </w:r>
      <w:r>
        <w:rPr>
          <w:rFonts w:hint="eastAsia" w:ascii="仿宋_GB2312" w:hAnsi="仿宋_GB2312" w:cs="仿宋_GB2312"/>
          <w:color w:val="auto"/>
          <w:kern w:val="0"/>
          <w:sz w:val="32"/>
          <w:szCs w:val="32"/>
          <w:lang w:eastAsia="zh-CN"/>
        </w:rPr>
        <w:t>；</w:t>
      </w:r>
    </w:p>
    <w:p>
      <w:pPr>
        <w:pStyle w:val="2"/>
        <w:ind w:left="0" w:leftChars="0" w:firstLine="640" w:firstLineChars="200"/>
        <w:rPr>
          <w:rFonts w:hint="eastAsia" w:ascii="仿宋_GB2312" w:hAnsi="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组织管理与职责</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区科技计划项目参与管理的各方包括：区科技局、区财政局，项目承担单位等</w:t>
      </w:r>
      <w:r>
        <w:rPr>
          <w:rFonts w:hint="eastAsia" w:ascii="仿宋_GB2312" w:hAnsi="仿宋_GB2312" w:cs="仿宋_GB2312"/>
          <w:color w:val="auto"/>
          <w:kern w:val="0"/>
          <w:sz w:val="32"/>
          <w:szCs w:val="32"/>
          <w:lang w:eastAsia="zh-CN"/>
        </w:rPr>
        <w:t>；</w:t>
      </w:r>
    </w:p>
    <w:p>
      <w:pPr>
        <w:widowControl/>
        <w:shd w:val="clear"/>
        <w:spacing w:before="240" w:after="240" w:line="397" w:lineRule="atLeast"/>
        <w:ind w:firstLine="640" w:firstLineChars="200"/>
        <w:jc w:val="both"/>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bidi="ar-SA"/>
        </w:rPr>
        <w:t>四、 申报与受理</w:t>
      </w:r>
      <w:r>
        <w:rPr>
          <w:rFonts w:hint="eastAsia" w:ascii="仿宋_GB2312" w:hAnsi="仿宋_GB2312" w:cs="仿宋_GB2312"/>
          <w:color w:val="auto"/>
          <w:kern w:val="0"/>
          <w:sz w:val="32"/>
          <w:szCs w:val="32"/>
          <w:lang w:val="en-US" w:eastAsia="zh-CN" w:bidi="ar-SA"/>
        </w:rPr>
        <w:t>：</w:t>
      </w:r>
      <w:r>
        <w:rPr>
          <w:rFonts w:hint="eastAsia" w:ascii="仿宋_GB2312" w:hAnsi="仿宋_GB2312" w:eastAsia="仿宋_GB2312" w:cs="仿宋_GB2312"/>
          <w:color w:val="auto"/>
          <w:kern w:val="0"/>
          <w:sz w:val="32"/>
          <w:szCs w:val="32"/>
        </w:rPr>
        <w:t>区科技计划项目申报应当符合以下基本条件：</w:t>
      </w:r>
    </w:p>
    <w:p>
      <w:pPr>
        <w:widowControl/>
        <w:shd w:val="clear"/>
        <w:spacing w:line="480" w:lineRule="atLeas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（一）项目申报单位</w:t>
      </w:r>
      <w:r>
        <w:rPr>
          <w:rFonts w:hint="eastAsia" w:ascii="仿宋_GB2312" w:hAnsi="仿宋_GB2312" w:cs="仿宋_GB2312"/>
          <w:color w:val="auto"/>
          <w:kern w:val="0"/>
          <w:sz w:val="32"/>
          <w:szCs w:val="32"/>
          <w:lang w:eastAsia="zh-CN"/>
        </w:rPr>
        <w:t>为</w:t>
      </w:r>
      <w:r>
        <w:rPr>
          <w:rFonts w:hint="eastAsia" w:ascii="仿宋_GB2312" w:hAnsi="仿宋_GB2312" w:eastAsia="仿宋_GB2312" w:cs="仿宋_GB2312"/>
          <w:color w:val="auto"/>
          <w:kern w:val="0"/>
          <w:sz w:val="32"/>
          <w:szCs w:val="32"/>
        </w:rPr>
        <w:t>具有独立法人资格的企事业单位或其他机构</w:t>
      </w:r>
      <w:r>
        <w:rPr>
          <w:rFonts w:hint="eastAsia" w:ascii="仿宋_GB2312" w:hAnsi="仿宋_GB2312" w:cs="仿宋_GB2312"/>
          <w:color w:val="auto"/>
          <w:kern w:val="0"/>
          <w:sz w:val="32"/>
          <w:szCs w:val="32"/>
          <w:lang w:eastAsia="zh-CN"/>
        </w:rPr>
        <w:t>及自然人</w:t>
      </w:r>
      <w:r>
        <w:rPr>
          <w:rFonts w:hint="eastAsia" w:ascii="仿宋_GB2312" w:hAnsi="仿宋_GB2312" w:eastAsia="仿宋_GB2312" w:cs="仿宋_GB2312"/>
          <w:color w:val="auto"/>
          <w:kern w:val="0"/>
          <w:sz w:val="32"/>
          <w:szCs w:val="32"/>
        </w:rPr>
        <w:t>；</w:t>
      </w:r>
    </w:p>
    <w:p>
      <w:pPr>
        <w:widowControl/>
        <w:shd w:val="clear"/>
        <w:spacing w:line="480" w:lineRule="atLeas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（二）项目申报单位应具有项目实施的基础条件、完成项目所必备的人才条件和技术装备，有健全的科研管理、财务管理和知识产权管理等制度；</w:t>
      </w:r>
    </w:p>
    <w:p>
      <w:pPr>
        <w:widowControl/>
        <w:shd w:val="clear"/>
        <w:spacing w:line="480" w:lineRule="atLeas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（三）企业单位申报</w:t>
      </w:r>
      <w:r>
        <w:rPr>
          <w:rFonts w:hint="eastAsia" w:ascii="仿宋_GB2312" w:hAnsi="仿宋_GB2312" w:eastAsia="仿宋_GB2312" w:cs="仿宋_GB2312"/>
          <w:color w:val="auto"/>
          <w:kern w:val="0"/>
          <w:sz w:val="32"/>
          <w:szCs w:val="32"/>
          <w:lang w:eastAsia="zh-CN"/>
        </w:rPr>
        <w:t>工业</w:t>
      </w:r>
      <w:r>
        <w:rPr>
          <w:rFonts w:hint="eastAsia" w:ascii="仿宋_GB2312" w:hAnsi="仿宋_GB2312" w:eastAsia="仿宋_GB2312" w:cs="仿宋_GB2312"/>
          <w:color w:val="auto"/>
          <w:kern w:val="0"/>
          <w:sz w:val="32"/>
          <w:szCs w:val="32"/>
        </w:rPr>
        <w:t>项目的，上一年度应有研发经费投入（R&amp;D经费支出），且投入比例应达到相关项目申报要求；</w:t>
      </w:r>
    </w:p>
    <w:p>
      <w:pPr>
        <w:widowControl/>
        <w:shd w:val="clear"/>
        <w:spacing w:line="480" w:lineRule="atLeas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（四）项目负责人在相关技术领域具有一定学术地位或技术优势，具有完成项目所需要的组织管理和协调能力；</w:t>
      </w:r>
    </w:p>
    <w:p>
      <w:pPr>
        <w:widowControl/>
        <w:shd w:val="clear"/>
        <w:spacing w:line="480" w:lineRule="atLeas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（五）具有应用导向的项目，申报单位应以企业为主体，鼓励与高等院校、科研院所联合申报；</w:t>
      </w:r>
    </w:p>
    <w:p>
      <w:pPr>
        <w:widowControl/>
        <w:shd w:val="clear"/>
        <w:spacing w:line="480" w:lineRule="atLeas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（六）申报单位或项目负责人过去</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年内在申报和承担国家、省、市、区科技计划项目中没有不良信用记录。</w:t>
      </w:r>
    </w:p>
    <w:p>
      <w:pPr>
        <w:widowControl/>
        <w:shd w:val="clear"/>
        <w:spacing w:line="480" w:lineRule="atLeas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申报受理</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区科技计划项目实行网上申报，根据申报指南要求进行项目申报资料审核和项目查重。</w:t>
      </w:r>
    </w:p>
    <w:p>
      <w:pPr>
        <w:keepNext w:val="0"/>
        <w:keepLines w:val="0"/>
        <w:pageBreakBefore w:val="0"/>
        <w:widowControl/>
        <w:shd w:val="clear"/>
        <w:kinsoku/>
        <w:wordWrap/>
        <w:overflowPunct/>
        <w:topLinePunct w:val="0"/>
        <w:autoSpaceDE/>
        <w:autoSpaceDN/>
        <w:bidi w:val="0"/>
        <w:adjustRightInd/>
        <w:snapToGrid/>
        <w:spacing w:line="480" w:lineRule="atLeas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cs="仿宋_GB2312"/>
          <w:color w:val="auto"/>
          <w:kern w:val="0"/>
          <w:sz w:val="32"/>
          <w:szCs w:val="32"/>
          <w:lang w:eastAsia="zh-CN"/>
        </w:rPr>
        <w:t>五、</w:t>
      </w:r>
      <w:r>
        <w:rPr>
          <w:rFonts w:hint="eastAsia" w:ascii="仿宋_GB2312" w:hAnsi="仿宋_GB2312" w:eastAsia="仿宋_GB2312" w:cs="仿宋_GB2312"/>
          <w:color w:val="auto"/>
          <w:kern w:val="0"/>
          <w:sz w:val="32"/>
          <w:szCs w:val="32"/>
        </w:rPr>
        <w:t>项目评审</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项目评审实行专家审核和专家评估相结合的方式。专家评估可采取网络评审、会议评审、答辩评审等形式，必要时可以赴外委托具有资质的评估机构开展异地评审；专家审核以书面审核为主，必要时可赴申报单位开展实地核实</w:t>
      </w:r>
      <w:r>
        <w:rPr>
          <w:rFonts w:hint="eastAsia" w:ascii="仿宋_GB2312" w:hAnsi="仿宋_GB2312" w:cs="仿宋_GB2312"/>
          <w:color w:val="auto"/>
          <w:kern w:val="0"/>
          <w:sz w:val="32"/>
          <w:szCs w:val="32"/>
          <w:lang w:eastAsia="zh-CN"/>
        </w:rPr>
        <w:t>；</w:t>
      </w:r>
    </w:p>
    <w:p>
      <w:pPr>
        <w:keepNext w:val="0"/>
        <w:keepLines w:val="0"/>
        <w:pageBreakBefore w:val="0"/>
        <w:widowControl/>
        <w:shd w:val="clear"/>
        <w:kinsoku/>
        <w:wordWrap/>
        <w:overflowPunct/>
        <w:topLinePunct w:val="0"/>
        <w:autoSpaceDE/>
        <w:autoSpaceDN/>
        <w:bidi w:val="0"/>
        <w:adjustRightInd/>
        <w:snapToGrid/>
        <w:spacing w:line="480" w:lineRule="atLeas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六、</w:t>
      </w:r>
      <w:r>
        <w:rPr>
          <w:rFonts w:hint="eastAsia" w:ascii="仿宋_GB2312" w:hAnsi="仿宋_GB2312" w:eastAsia="仿宋_GB2312" w:cs="仿宋_GB2312"/>
          <w:color w:val="auto"/>
          <w:kern w:val="0"/>
          <w:sz w:val="32"/>
          <w:szCs w:val="32"/>
        </w:rPr>
        <w:t>项目立项</w:t>
      </w:r>
    </w:p>
    <w:p>
      <w:pPr>
        <w:keepNext w:val="0"/>
        <w:keepLines w:val="0"/>
        <w:pageBreakBefore w:val="0"/>
        <w:widowControl/>
        <w:shd w:val="clear"/>
        <w:kinsoku/>
        <w:wordWrap/>
        <w:overflowPunct/>
        <w:topLinePunct w:val="0"/>
        <w:autoSpaceDE/>
        <w:autoSpaceDN/>
        <w:bidi w:val="0"/>
        <w:adjustRightInd/>
        <w:snapToGrid/>
        <w:spacing w:line="480" w:lineRule="atLeast"/>
        <w:ind w:firstLine="640" w:firstLineChars="200"/>
        <w:textAlignment w:val="auto"/>
        <w:rPr>
          <w:rFonts w:hint="eastAsia" w:eastAsia="仿宋_GB2312"/>
          <w:lang w:eastAsia="zh-CN"/>
        </w:rPr>
      </w:pPr>
      <w:r>
        <w:rPr>
          <w:rFonts w:hint="eastAsia" w:ascii="仿宋_GB2312" w:hAnsi="仿宋_GB2312" w:eastAsia="仿宋_GB2312" w:cs="仿宋_GB2312"/>
          <w:color w:val="auto"/>
          <w:kern w:val="0"/>
          <w:sz w:val="32"/>
          <w:szCs w:val="32"/>
          <w:lang w:eastAsia="zh-CN"/>
        </w:rPr>
        <w:t>七、</w:t>
      </w:r>
      <w:r>
        <w:rPr>
          <w:rFonts w:hint="eastAsia" w:ascii="仿宋_GB2312" w:hAnsi="仿宋_GB2312" w:eastAsia="仿宋_GB2312" w:cs="仿宋_GB2312"/>
          <w:color w:val="auto"/>
          <w:kern w:val="0"/>
          <w:sz w:val="32"/>
          <w:szCs w:val="32"/>
        </w:rPr>
        <w:t>经费支持</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区财政科技经费支持采用直接资助、后补助和间接支持等三种分配方式。重大工业科技专项根据项目情况支持经费额度在</w:t>
      </w:r>
      <w:r>
        <w:rPr>
          <w:rFonts w:hint="eastAsia" w:ascii="仿宋_GB2312" w:hAnsi="仿宋_GB2312" w:eastAsia="仿宋_GB2312" w:cs="仿宋_GB2312"/>
          <w:color w:val="auto"/>
          <w:kern w:val="0"/>
          <w:sz w:val="32"/>
          <w:szCs w:val="32"/>
          <w:lang w:val="en-US" w:eastAsia="zh-CN"/>
        </w:rPr>
        <w:t>30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50</w:t>
      </w:r>
      <w:r>
        <w:rPr>
          <w:rFonts w:hint="eastAsia" w:ascii="仿宋_GB2312" w:hAnsi="仿宋_GB2312" w:eastAsia="仿宋_GB2312" w:cs="仿宋_GB2312"/>
          <w:color w:val="auto"/>
          <w:kern w:val="0"/>
          <w:sz w:val="32"/>
          <w:szCs w:val="32"/>
        </w:rPr>
        <w:t>万元之间，一般工业攻关项目根据项目情况支持经费额度在10-30万元（以下）；重大农业科技项目和重点社会发展科技项目根据项目情况支持经费额度在</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0万元；一般农业科技项目和一般社会发展科技项目支持经费额度一般不超过</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万元。</w:t>
      </w:r>
      <w:r>
        <w:rPr>
          <w:rFonts w:hint="eastAsia" w:ascii="仿宋_GB2312" w:hAnsi="仿宋_GB2312" w:cs="仿宋_GB2312"/>
          <w:color w:val="auto"/>
          <w:kern w:val="0"/>
          <w:sz w:val="32"/>
          <w:szCs w:val="32"/>
          <w:lang w:eastAsia="zh-CN"/>
        </w:rPr>
        <w:t>对于我区产业发展具有积极带动作用的重大项目，经费支持额度实行一事一议。</w:t>
      </w:r>
    </w:p>
    <w:p>
      <w:pPr>
        <w:keepNext w:val="0"/>
        <w:keepLines w:val="0"/>
        <w:pageBreakBefore w:val="0"/>
        <w:widowControl/>
        <w:shd w:val="clear"/>
        <w:kinsoku/>
        <w:wordWrap/>
        <w:overflowPunct/>
        <w:topLinePunct w:val="0"/>
        <w:autoSpaceDE/>
        <w:autoSpaceDN/>
        <w:bidi w:val="0"/>
        <w:adjustRightInd/>
        <w:snapToGrid/>
        <w:spacing w:line="480" w:lineRule="atLeas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八</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实施过程管理</w:t>
      </w:r>
      <w:r>
        <w:rPr>
          <w:rFonts w:hint="eastAsia" w:ascii="仿宋_GB2312" w:hAnsi="仿宋_GB2312" w:cs="仿宋_GB2312"/>
          <w:color w:val="auto"/>
          <w:kern w:val="0"/>
          <w:sz w:val="32"/>
          <w:szCs w:val="32"/>
          <w:lang w:eastAsia="zh-CN"/>
        </w:rPr>
        <w:t>：主要包括中期检查、</w:t>
      </w:r>
      <w:r>
        <w:rPr>
          <w:rFonts w:hint="eastAsia" w:ascii="仿宋_GB2312" w:hAnsi="仿宋_GB2312" w:eastAsia="仿宋_GB2312" w:cs="仿宋_GB2312"/>
          <w:color w:val="auto"/>
          <w:kern w:val="0"/>
          <w:sz w:val="32"/>
          <w:szCs w:val="32"/>
        </w:rPr>
        <w:t>项目合同调整</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项目合同终止申请</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项目合同撤销</w:t>
      </w:r>
      <w:r>
        <w:rPr>
          <w:rFonts w:hint="eastAsia" w:ascii="仿宋_GB2312" w:hAnsi="仿宋_GB2312" w:cs="仿宋_GB2312"/>
          <w:color w:val="auto"/>
          <w:kern w:val="0"/>
          <w:sz w:val="32"/>
          <w:szCs w:val="32"/>
          <w:lang w:eastAsia="zh-CN"/>
        </w:rPr>
        <w:t>等；</w:t>
      </w:r>
    </w:p>
    <w:p>
      <w:pPr>
        <w:keepNext w:val="0"/>
        <w:keepLines w:val="0"/>
        <w:pageBreakBefore w:val="0"/>
        <w:widowControl/>
        <w:shd w:val="clear"/>
        <w:kinsoku/>
        <w:wordWrap/>
        <w:overflowPunct/>
        <w:topLinePunct w:val="0"/>
        <w:autoSpaceDE/>
        <w:autoSpaceDN/>
        <w:bidi w:val="0"/>
        <w:adjustRightInd/>
        <w:snapToGrid/>
        <w:spacing w:line="480" w:lineRule="atLeast"/>
        <w:ind w:firstLine="640" w:firstLineChars="200"/>
        <w:textAlignment w:val="auto"/>
        <w:rPr>
          <w:rFonts w:hint="eastAsia" w:ascii="仿宋" w:hAnsi="仿宋" w:eastAsia="仿宋"/>
          <w:color w:val="auto"/>
          <w:kern w:val="0"/>
          <w:sz w:val="32"/>
          <w:szCs w:val="32"/>
          <w:lang w:eastAsia="zh-CN"/>
        </w:rPr>
      </w:pPr>
      <w:r>
        <w:rPr>
          <w:rFonts w:hint="eastAsia" w:ascii="仿宋" w:hAnsi="仿宋" w:eastAsia="仿宋"/>
          <w:color w:val="auto"/>
          <w:kern w:val="0"/>
          <w:sz w:val="32"/>
          <w:szCs w:val="32"/>
        </w:rPr>
        <w:t>九</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项目验收</w:t>
      </w:r>
      <w:r>
        <w:rPr>
          <w:rFonts w:hint="eastAsia" w:ascii="仿宋" w:hAnsi="仿宋" w:eastAsia="仿宋"/>
          <w:color w:val="auto"/>
          <w:kern w:val="0"/>
          <w:sz w:val="32"/>
          <w:szCs w:val="32"/>
          <w:lang w:eastAsia="zh-CN"/>
        </w:rPr>
        <w:t>：主要包括</w:t>
      </w:r>
      <w:r>
        <w:rPr>
          <w:rFonts w:hint="eastAsia" w:ascii="仿宋" w:hAnsi="仿宋" w:eastAsia="仿宋"/>
          <w:color w:val="auto"/>
          <w:kern w:val="0"/>
          <w:sz w:val="32"/>
          <w:szCs w:val="32"/>
        </w:rPr>
        <w:t>验收分类</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验收时间</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验收依据</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验收组织</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验收方式</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验收结论</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成果登记</w:t>
      </w:r>
      <w:r>
        <w:rPr>
          <w:rFonts w:hint="eastAsia" w:ascii="仿宋" w:hAnsi="仿宋" w:eastAsia="仿宋"/>
          <w:color w:val="auto"/>
          <w:kern w:val="0"/>
          <w:sz w:val="32"/>
          <w:szCs w:val="32"/>
          <w:lang w:eastAsia="zh-CN"/>
        </w:rPr>
        <w:t>；</w:t>
      </w:r>
    </w:p>
    <w:p>
      <w:pPr>
        <w:keepNext w:val="0"/>
        <w:keepLines w:val="0"/>
        <w:pageBreakBefore w:val="0"/>
        <w:widowControl/>
        <w:shd w:val="clear"/>
        <w:kinsoku/>
        <w:wordWrap/>
        <w:overflowPunct/>
        <w:topLinePunct w:val="0"/>
        <w:autoSpaceDE/>
        <w:autoSpaceDN/>
        <w:bidi w:val="0"/>
        <w:adjustRightInd/>
        <w:snapToGrid/>
        <w:spacing w:line="480" w:lineRule="atLeast"/>
        <w:ind w:firstLine="640" w:firstLineChars="200"/>
        <w:textAlignment w:val="auto"/>
        <w:rPr>
          <w:rFonts w:hint="eastAsia" w:ascii="黑体" w:hAnsi="黑体" w:eastAsia="仿宋" w:cs="宋体"/>
          <w:b/>
          <w:bCs/>
          <w:color w:val="auto"/>
          <w:kern w:val="0"/>
          <w:sz w:val="32"/>
          <w:szCs w:val="32"/>
          <w:lang w:eastAsia="zh-CN"/>
        </w:rPr>
      </w:pPr>
      <w:r>
        <w:rPr>
          <w:rFonts w:hint="eastAsia" w:ascii="仿宋" w:hAnsi="仿宋" w:eastAsia="仿宋"/>
          <w:color w:val="auto"/>
          <w:kern w:val="0"/>
          <w:sz w:val="32"/>
          <w:szCs w:val="32"/>
        </w:rPr>
        <w:t>十</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监督管理</w:t>
      </w:r>
      <w:r>
        <w:rPr>
          <w:rFonts w:hint="eastAsia" w:ascii="仿宋" w:hAnsi="仿宋" w:eastAsia="仿宋"/>
          <w:color w:val="auto"/>
          <w:kern w:val="0"/>
          <w:sz w:val="32"/>
          <w:szCs w:val="32"/>
          <w:lang w:eastAsia="zh-CN"/>
        </w:rPr>
        <w:t>：主要包括</w:t>
      </w:r>
      <w:r>
        <w:rPr>
          <w:rFonts w:hint="eastAsia" w:ascii="仿宋" w:hAnsi="仿宋" w:eastAsia="仿宋"/>
          <w:color w:val="auto"/>
          <w:kern w:val="0"/>
          <w:sz w:val="32"/>
          <w:szCs w:val="32"/>
        </w:rPr>
        <w:t>推进项目管理信息公开</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实施绩效评价制度</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实行科研信用管理制度</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强化法人主体责任</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严格惩处项目实施中的违规行为</w:t>
      </w:r>
      <w:r>
        <w:rPr>
          <w:rFonts w:hint="eastAsia" w:ascii="仿宋" w:hAnsi="仿宋" w:eastAsia="仿宋"/>
          <w:color w:val="auto"/>
          <w:kern w:val="0"/>
          <w:sz w:val="32"/>
          <w:szCs w:val="32"/>
          <w:lang w:eastAsia="zh-CN"/>
        </w:rPr>
        <w:t>；</w:t>
      </w:r>
    </w:p>
    <w:p>
      <w:pPr>
        <w:widowControl/>
        <w:shd w:val="clear"/>
        <w:spacing w:line="480" w:lineRule="atLeast"/>
        <w:ind w:firstLine="640" w:firstLineChars="200"/>
        <w:rPr>
          <w:rFonts w:hint="eastAsia" w:ascii="仿宋" w:hAnsi="仿宋" w:eastAsia="仿宋"/>
          <w:color w:val="auto"/>
          <w:kern w:val="0"/>
          <w:sz w:val="32"/>
          <w:szCs w:val="32"/>
          <w:lang w:eastAsia="zh-CN"/>
        </w:rPr>
      </w:pPr>
      <w:r>
        <w:rPr>
          <w:rFonts w:hint="eastAsia" w:ascii="仿宋" w:hAnsi="仿宋" w:eastAsia="仿宋"/>
          <w:color w:val="auto"/>
          <w:kern w:val="0"/>
          <w:sz w:val="32"/>
          <w:szCs w:val="32"/>
          <w:lang w:eastAsia="zh-CN"/>
        </w:rPr>
        <w:t>十一、附则</w:t>
      </w:r>
    </w:p>
    <w:p>
      <w:pPr>
        <w:pStyle w:val="2"/>
        <w:shd w:val="clear"/>
        <w:ind w:left="0" w:leftChars="0" w:firstLine="640" w:firstLineChars="200"/>
        <w:rPr>
          <w:rFonts w:hint="eastAsia" w:ascii="仿宋_GB2312" w:hAnsi="仿宋_GB2312" w:cs="仿宋_GB2312"/>
          <w:color w:val="auto"/>
          <w:kern w:val="0"/>
          <w:sz w:val="32"/>
          <w:szCs w:val="32"/>
          <w:lang w:eastAsia="zh-CN"/>
        </w:rPr>
      </w:pP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创艺简标宋">
    <w:altName w:val="黑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042B2"/>
    <w:rsid w:val="0ED042B2"/>
    <w:rsid w:val="176E2A35"/>
    <w:rsid w:val="27B968E8"/>
    <w:rsid w:val="388C176A"/>
    <w:rsid w:val="5D705ED6"/>
    <w:rsid w:val="75E4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style>
  <w:style w:type="paragraph" w:customStyle="1" w:styleId="3">
    <w:name w:val="正文文本缩进1"/>
    <w:basedOn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2022-06-30T06:28:00Z</dcterms:created>
  <dc:creator>Administrator</dc:creator>
  <cp:lastModifiedBy>Administrator</cp:lastModifiedBy>
  <dcterms:modified xsi:type="dcterms:W3CDTF">2022-06-30T06:31:02Z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